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D9581F" w:rsidRDefault="00775E86" w:rsidP="00775E86">
      <w:pPr>
        <w:jc w:val="center"/>
        <w:rPr>
          <w:lang w:val="en-GB"/>
        </w:rPr>
      </w:pPr>
      <w:r w:rsidRPr="00D9581F">
        <w:rPr>
          <w:rFonts w:ascii="Verdana" w:hAnsi="Verdana"/>
          <w:b/>
          <w:noProof/>
          <w:lang w:eastAsia="fr-FR"/>
        </w:rPr>
        <w:drawing>
          <wp:inline distT="0" distB="0" distL="0" distR="0" wp14:anchorId="10CAC8D3" wp14:editId="4E870E82">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Pr="00D9581F" w:rsidRDefault="008760A9" w:rsidP="007316AE">
      <w:pPr>
        <w:pStyle w:val="Titre1"/>
      </w:pPr>
      <w:r w:rsidRPr="00D9581F">
        <w:t>Focus UEA numéro quatorze</w:t>
      </w:r>
      <w:r w:rsidR="00775E86" w:rsidRPr="00D9581F">
        <w:t xml:space="preserve">, </w:t>
      </w:r>
      <w:r w:rsidRPr="00D9581F">
        <w:t>janvier</w:t>
      </w:r>
      <w:r w:rsidR="000A4B35" w:rsidRPr="00D9581F">
        <w:t xml:space="preserve"> 2022</w:t>
      </w:r>
      <w:r w:rsidR="00775E86" w:rsidRPr="00D9581F">
        <w:t>.</w:t>
      </w:r>
    </w:p>
    <w:p w:rsidR="007316AE" w:rsidRPr="00D9581F" w:rsidRDefault="00157770" w:rsidP="007316AE">
      <w:pPr>
        <w:pStyle w:val="Titre1"/>
      </w:pPr>
      <w:r w:rsidRPr="00D9581F">
        <w:t>L</w:t>
      </w:r>
      <w:r w:rsidR="00D114B1" w:rsidRPr="00D9581F">
        <w:t>’</w:t>
      </w:r>
      <w:r w:rsidRPr="00D9581F">
        <w:t xml:space="preserve">emploi : </w:t>
      </w:r>
      <w:r w:rsidR="001F41AF" w:rsidRPr="00D9581F">
        <w:t xml:space="preserve">une </w:t>
      </w:r>
      <w:r w:rsidRPr="00D9581F">
        <w:t xml:space="preserve">clé </w:t>
      </w:r>
      <w:r w:rsidR="001F41AF" w:rsidRPr="00D9581F">
        <w:t>pour</w:t>
      </w:r>
      <w:r w:rsidRPr="00D9581F">
        <w:t xml:space="preserve"> l</w:t>
      </w:r>
      <w:r w:rsidR="00D114B1" w:rsidRPr="00D9581F">
        <w:t>’</w:t>
      </w:r>
      <w:r w:rsidRPr="00D9581F">
        <w:t>inclusion</w:t>
      </w:r>
    </w:p>
    <w:p w:rsidR="007316AE" w:rsidRPr="00D9581F" w:rsidRDefault="00E57363" w:rsidP="00472C7E">
      <w:pPr>
        <w:pStyle w:val="Titre3"/>
        <w:rPr>
          <w:lang w:val="fr-FR"/>
        </w:rPr>
      </w:pPr>
      <w:r w:rsidRPr="00D9581F">
        <w:rPr>
          <w:lang w:val="fr-FR"/>
        </w:rPr>
        <w:t>Versions polonaise, serbe et turque disponibles !</w:t>
      </w:r>
    </w:p>
    <w:p w:rsidR="00C47262" w:rsidRPr="00D9581F" w:rsidRDefault="0026200C" w:rsidP="005A7643">
      <w:r w:rsidRPr="00D9581F">
        <w:t>Les lettres d</w:t>
      </w:r>
      <w:r w:rsidR="00D114B1" w:rsidRPr="00D9581F">
        <w:t>’</w:t>
      </w:r>
      <w:r w:rsidRPr="00D9581F">
        <w:t>information de l</w:t>
      </w:r>
      <w:r w:rsidR="00D114B1" w:rsidRPr="00D9581F">
        <w:t>’</w:t>
      </w:r>
      <w:r w:rsidRPr="00D9581F">
        <w:t xml:space="preserve">UEA sont désormais disponibles en </w:t>
      </w:r>
      <w:hyperlink r:id="rId7" w:history="1">
        <w:r w:rsidRPr="00D84BAD">
          <w:rPr>
            <w:rStyle w:val="Lienhypertexte"/>
          </w:rPr>
          <w:t>polonais</w:t>
        </w:r>
      </w:hyperlink>
      <w:r w:rsidRPr="00D9581F">
        <w:t xml:space="preserve">, en </w:t>
      </w:r>
      <w:hyperlink r:id="rId8" w:history="1">
        <w:r w:rsidRPr="00D84BAD">
          <w:rPr>
            <w:rStyle w:val="Lienhypertexte"/>
          </w:rPr>
          <w:t>serbe</w:t>
        </w:r>
      </w:hyperlink>
      <w:r w:rsidRPr="00D9581F">
        <w:t xml:space="preserve"> et en </w:t>
      </w:r>
      <w:hyperlink r:id="rId9" w:history="1">
        <w:r w:rsidRPr="00D84BAD">
          <w:rPr>
            <w:rStyle w:val="Lienhypertexte"/>
          </w:rPr>
          <w:t>turc</w:t>
        </w:r>
      </w:hyperlink>
      <w:r w:rsidRPr="00D9581F">
        <w:t>, sous forme de documents Word uniquement. Nous espérons qu</w:t>
      </w:r>
      <w:r w:rsidR="00D114B1" w:rsidRPr="00D9581F">
        <w:t>’</w:t>
      </w:r>
      <w:r w:rsidRPr="00D9581F">
        <w:t>avec ces traductions, nos informations atteindront un public plus large</w:t>
      </w:r>
      <w:r w:rsidR="00C47262" w:rsidRPr="00D9581F">
        <w:t xml:space="preserve">. </w:t>
      </w:r>
    </w:p>
    <w:p w:rsidR="00083785" w:rsidRPr="00D9581F" w:rsidRDefault="00D114B1" w:rsidP="00431EE8">
      <w:pPr>
        <w:pStyle w:val="Titre2"/>
        <w:rPr>
          <w:lang w:val="fr-FR"/>
        </w:rPr>
      </w:pPr>
      <w:r w:rsidRPr="00D9581F">
        <w:rPr>
          <w:lang w:val="fr-FR"/>
        </w:rPr>
        <w:t>L’</w:t>
      </w:r>
      <w:r w:rsidR="00DD054B" w:rsidRPr="00D9581F">
        <w:rPr>
          <w:lang w:val="fr-FR"/>
        </w:rPr>
        <w:t>emploi des personnes aveugles et malvoyantes : une clé pour l</w:t>
      </w:r>
      <w:r w:rsidRPr="00D9581F">
        <w:rPr>
          <w:lang w:val="fr-FR"/>
        </w:rPr>
        <w:t>’</w:t>
      </w:r>
      <w:r w:rsidR="00DD054B" w:rsidRPr="00D9581F">
        <w:rPr>
          <w:lang w:val="fr-FR"/>
        </w:rPr>
        <w:t>inclusion</w:t>
      </w:r>
    </w:p>
    <w:p w:rsidR="00147F23" w:rsidRPr="00D9581F" w:rsidRDefault="00594BF7" w:rsidP="00147F23">
      <w:pPr>
        <w:spacing w:before="120" w:after="120"/>
        <w:rPr>
          <w:rFonts w:cs="Arial"/>
          <w:szCs w:val="28"/>
        </w:rPr>
      </w:pPr>
      <w:r w:rsidRPr="00D9581F">
        <w:rPr>
          <w:rFonts w:cs="Arial"/>
          <w:szCs w:val="28"/>
        </w:rPr>
        <w:t xml:space="preserve">Tel était le titre de la conférence annuelle que nous avons organisée </w:t>
      </w:r>
      <w:r w:rsidR="008B031C" w:rsidRPr="00D9581F">
        <w:rPr>
          <w:rFonts w:cs="Arial"/>
          <w:szCs w:val="28"/>
        </w:rPr>
        <w:t xml:space="preserve">à Belgrade </w:t>
      </w:r>
      <w:r w:rsidRPr="00D9581F">
        <w:rPr>
          <w:rFonts w:cs="Arial"/>
          <w:szCs w:val="28"/>
        </w:rPr>
        <w:t>avec nos amis serbes de l</w:t>
      </w:r>
      <w:r w:rsidR="00D114B1" w:rsidRPr="00D9581F">
        <w:rPr>
          <w:rFonts w:cs="Arial"/>
          <w:szCs w:val="28"/>
        </w:rPr>
        <w:t>’</w:t>
      </w:r>
      <w:r w:rsidRPr="00D9581F">
        <w:rPr>
          <w:rFonts w:cs="Arial"/>
          <w:szCs w:val="28"/>
        </w:rPr>
        <w:t xml:space="preserve">Union des Aveugles de Serbie. </w:t>
      </w:r>
      <w:r w:rsidR="008B031C" w:rsidRPr="00D9581F">
        <w:rPr>
          <w:rFonts w:cs="Arial"/>
          <w:szCs w:val="28"/>
        </w:rPr>
        <w:t>C</w:t>
      </w:r>
      <w:r w:rsidR="001F41AF" w:rsidRPr="00D9581F">
        <w:rPr>
          <w:rFonts w:cs="Arial"/>
          <w:szCs w:val="28"/>
        </w:rPr>
        <w:t>ette</w:t>
      </w:r>
      <w:r w:rsidRPr="00D9581F">
        <w:rPr>
          <w:rFonts w:cs="Arial"/>
          <w:szCs w:val="28"/>
        </w:rPr>
        <w:t xml:space="preserve"> conférence a rassemblé 150 participants </w:t>
      </w:r>
      <w:r w:rsidR="001F41AF" w:rsidRPr="00D9581F">
        <w:rPr>
          <w:rFonts w:cs="Arial"/>
          <w:szCs w:val="28"/>
        </w:rPr>
        <w:t xml:space="preserve">venus </w:t>
      </w:r>
      <w:r w:rsidRPr="00D9581F">
        <w:rPr>
          <w:rFonts w:cs="Arial"/>
          <w:szCs w:val="28"/>
        </w:rPr>
        <w:t>de toute l</w:t>
      </w:r>
      <w:r w:rsidR="00D114B1" w:rsidRPr="00D9581F">
        <w:rPr>
          <w:rFonts w:cs="Arial"/>
          <w:szCs w:val="28"/>
        </w:rPr>
        <w:t>’</w:t>
      </w:r>
      <w:r w:rsidRPr="00D9581F">
        <w:rPr>
          <w:rFonts w:cs="Arial"/>
          <w:szCs w:val="28"/>
        </w:rPr>
        <w:t xml:space="preserve">Europe pour discuter des défis et des </w:t>
      </w:r>
      <w:r w:rsidR="001A43EB" w:rsidRPr="00D9581F">
        <w:rPr>
          <w:rFonts w:cs="Arial"/>
          <w:szCs w:val="28"/>
        </w:rPr>
        <w:t xml:space="preserve">opportunités </w:t>
      </w:r>
      <w:r w:rsidR="001F41AF" w:rsidRPr="00D9581F">
        <w:rPr>
          <w:rFonts w:cs="Arial"/>
          <w:szCs w:val="28"/>
        </w:rPr>
        <w:t>en matière d’emploi</w:t>
      </w:r>
      <w:r w:rsidR="00147F23" w:rsidRPr="00D9581F">
        <w:rPr>
          <w:rFonts w:cs="Arial"/>
          <w:szCs w:val="28"/>
        </w:rPr>
        <w:t xml:space="preserve">. </w:t>
      </w:r>
      <w:r w:rsidR="001957C4" w:rsidRPr="00D9581F">
        <w:rPr>
          <w:rFonts w:cs="Arial"/>
          <w:szCs w:val="28"/>
        </w:rPr>
        <w:t>Comme l</w:t>
      </w:r>
      <w:r w:rsidR="00D114B1" w:rsidRPr="00D9581F">
        <w:rPr>
          <w:rFonts w:cs="Arial"/>
          <w:szCs w:val="28"/>
        </w:rPr>
        <w:t>’</w:t>
      </w:r>
      <w:r w:rsidR="001957C4" w:rsidRPr="00D9581F">
        <w:rPr>
          <w:rFonts w:cs="Arial"/>
          <w:szCs w:val="28"/>
        </w:rPr>
        <w:t xml:space="preserve">a également souligné </w:t>
      </w:r>
      <w:hyperlink r:id="rId10" w:history="1">
        <w:r w:rsidR="001957C4" w:rsidRPr="00D9581F">
          <w:rPr>
            <w:rStyle w:val="Lienhypertexte"/>
            <w:rFonts w:cs="Arial"/>
            <w:szCs w:val="28"/>
          </w:rPr>
          <w:t xml:space="preserve">la Déclaration de </w:t>
        </w:r>
        <w:r w:rsidR="00147F23" w:rsidRPr="00D9581F">
          <w:rPr>
            <w:rStyle w:val="Lienhypertexte"/>
            <w:rFonts w:cs="Arial"/>
            <w:szCs w:val="28"/>
          </w:rPr>
          <w:t>Belgrade</w:t>
        </w:r>
      </w:hyperlink>
      <w:r w:rsidR="00147F23" w:rsidRPr="00D9581F">
        <w:rPr>
          <w:rFonts w:cs="Arial"/>
          <w:szCs w:val="28"/>
        </w:rPr>
        <w:t xml:space="preserve"> </w:t>
      </w:r>
      <w:r w:rsidR="001957C4" w:rsidRPr="00D9581F">
        <w:rPr>
          <w:rFonts w:cs="Arial"/>
          <w:szCs w:val="28"/>
        </w:rPr>
        <w:t xml:space="preserve">issue de cette rencontre, </w:t>
      </w:r>
      <w:r w:rsidR="00532246" w:rsidRPr="00D9581F">
        <w:rPr>
          <w:rFonts w:cs="Arial"/>
          <w:szCs w:val="28"/>
        </w:rPr>
        <w:t>l</w:t>
      </w:r>
      <w:r w:rsidR="00D114B1" w:rsidRPr="00D9581F">
        <w:rPr>
          <w:rFonts w:cs="Arial"/>
          <w:szCs w:val="28"/>
        </w:rPr>
        <w:t>’</w:t>
      </w:r>
      <w:r w:rsidR="00532246" w:rsidRPr="00D9581F">
        <w:rPr>
          <w:rFonts w:cs="Arial"/>
          <w:szCs w:val="28"/>
        </w:rPr>
        <w:t>emploi représente bien plus qu</w:t>
      </w:r>
      <w:r w:rsidR="00D114B1" w:rsidRPr="00D9581F">
        <w:rPr>
          <w:rFonts w:cs="Arial"/>
          <w:szCs w:val="28"/>
        </w:rPr>
        <w:t>’</w:t>
      </w:r>
      <w:r w:rsidR="00532246" w:rsidRPr="00D9581F">
        <w:rPr>
          <w:rFonts w:cs="Arial"/>
          <w:szCs w:val="28"/>
        </w:rPr>
        <w:t>une simple activité génératrice de revenus</w:t>
      </w:r>
      <w:r w:rsidR="00856336" w:rsidRPr="00D9581F">
        <w:rPr>
          <w:rFonts w:cs="Arial"/>
          <w:szCs w:val="28"/>
        </w:rPr>
        <w:t> :</w:t>
      </w:r>
      <w:r w:rsidR="00532246" w:rsidRPr="00D9581F">
        <w:rPr>
          <w:rFonts w:cs="Arial"/>
          <w:szCs w:val="28"/>
        </w:rPr>
        <w:t xml:space="preserve"> c</w:t>
      </w:r>
      <w:r w:rsidR="00D114B1" w:rsidRPr="00D9581F">
        <w:rPr>
          <w:rFonts w:cs="Arial"/>
          <w:szCs w:val="28"/>
        </w:rPr>
        <w:t>’</w:t>
      </w:r>
      <w:r w:rsidR="00532246" w:rsidRPr="00D9581F">
        <w:rPr>
          <w:rFonts w:cs="Arial"/>
          <w:szCs w:val="28"/>
        </w:rPr>
        <w:t>est une question d</w:t>
      </w:r>
      <w:r w:rsidR="00D114B1" w:rsidRPr="00D9581F">
        <w:rPr>
          <w:rFonts w:cs="Arial"/>
          <w:szCs w:val="28"/>
        </w:rPr>
        <w:t>’</w:t>
      </w:r>
      <w:r w:rsidR="00532246" w:rsidRPr="00D9581F">
        <w:rPr>
          <w:rFonts w:cs="Arial"/>
          <w:szCs w:val="28"/>
        </w:rPr>
        <w:t xml:space="preserve">inclusion dans la société ! Mais quelle est réellement </w:t>
      </w:r>
      <w:r w:rsidR="00EF2096" w:rsidRPr="00D9581F">
        <w:rPr>
          <w:rFonts w:cs="Arial"/>
          <w:szCs w:val="28"/>
        </w:rPr>
        <w:t xml:space="preserve">aujourd’hui </w:t>
      </w:r>
      <w:r w:rsidR="00532246" w:rsidRPr="00D9581F">
        <w:rPr>
          <w:rFonts w:cs="Arial"/>
          <w:szCs w:val="28"/>
        </w:rPr>
        <w:t xml:space="preserve">la situation des personnes aveugles et malvoyantes </w:t>
      </w:r>
      <w:r w:rsidR="00EF2096" w:rsidRPr="00D9581F">
        <w:rPr>
          <w:rFonts w:cs="Arial"/>
          <w:szCs w:val="28"/>
        </w:rPr>
        <w:t xml:space="preserve">en matière d’emploi </w:t>
      </w:r>
      <w:r w:rsidR="00532246" w:rsidRPr="00D9581F">
        <w:rPr>
          <w:rFonts w:cs="Arial"/>
          <w:szCs w:val="28"/>
        </w:rPr>
        <w:t>dans différents pays </w:t>
      </w:r>
      <w:r w:rsidR="00147F23" w:rsidRPr="00D9581F">
        <w:rPr>
          <w:rFonts w:cs="Arial"/>
          <w:szCs w:val="28"/>
        </w:rPr>
        <w:t xml:space="preserve">? </w:t>
      </w:r>
    </w:p>
    <w:p w:rsidR="00147F23" w:rsidRPr="00D9581F" w:rsidRDefault="007A74C4" w:rsidP="00813250">
      <w:pPr>
        <w:spacing w:before="120" w:after="120"/>
        <w:rPr>
          <w:rFonts w:cs="Arial"/>
          <w:szCs w:val="28"/>
        </w:rPr>
      </w:pPr>
      <w:r w:rsidRPr="00D9581F">
        <w:rPr>
          <w:rFonts w:cs="Arial"/>
          <w:szCs w:val="28"/>
        </w:rPr>
        <w:t>D</w:t>
      </w:r>
      <w:r w:rsidR="00813250" w:rsidRPr="00D9581F">
        <w:rPr>
          <w:rFonts w:cs="Arial"/>
          <w:szCs w:val="28"/>
        </w:rPr>
        <w:t>es preuves tangibles démontrent clairement que les personnes aveugles et malvoyantes sont toujours plus susceptibles de faire partie des chômeurs ou d</w:t>
      </w:r>
      <w:r w:rsidR="00D114B1" w:rsidRPr="00D9581F">
        <w:rPr>
          <w:rFonts w:cs="Arial"/>
          <w:szCs w:val="28"/>
        </w:rPr>
        <w:t>’</w:t>
      </w:r>
      <w:r w:rsidR="00813250" w:rsidRPr="00D9581F">
        <w:rPr>
          <w:rFonts w:cs="Arial"/>
          <w:szCs w:val="28"/>
        </w:rPr>
        <w:t>occuper des emplois précaires que leurs homologues voyants. Cette situation peut s</w:t>
      </w:r>
      <w:r w:rsidR="00D114B1" w:rsidRPr="00D9581F">
        <w:rPr>
          <w:rFonts w:cs="Arial"/>
          <w:szCs w:val="28"/>
        </w:rPr>
        <w:t>’</w:t>
      </w:r>
      <w:r w:rsidR="00813250" w:rsidRPr="00D9581F">
        <w:rPr>
          <w:rFonts w:cs="Arial"/>
          <w:szCs w:val="28"/>
        </w:rPr>
        <w:t>aggraver si l</w:t>
      </w:r>
      <w:r w:rsidR="00D114B1" w:rsidRPr="00D9581F">
        <w:rPr>
          <w:rFonts w:cs="Arial"/>
          <w:szCs w:val="28"/>
        </w:rPr>
        <w:t>’</w:t>
      </w:r>
      <w:r w:rsidR="00813250" w:rsidRPr="00D9581F">
        <w:rPr>
          <w:rFonts w:cs="Arial"/>
          <w:szCs w:val="28"/>
        </w:rPr>
        <w:t>on tient compte d</w:t>
      </w:r>
      <w:r w:rsidR="00D114B1" w:rsidRPr="00D9581F">
        <w:rPr>
          <w:rFonts w:cs="Arial"/>
          <w:szCs w:val="28"/>
        </w:rPr>
        <w:t>’</w:t>
      </w:r>
      <w:r w:rsidR="00813250" w:rsidRPr="00D9581F">
        <w:rPr>
          <w:rFonts w:cs="Arial"/>
          <w:szCs w:val="28"/>
        </w:rPr>
        <w:t xml:space="preserve">autres facteurs </w:t>
      </w:r>
      <w:r w:rsidR="008F2EAA" w:rsidRPr="00D9581F">
        <w:rPr>
          <w:rFonts w:cs="Arial"/>
          <w:szCs w:val="28"/>
        </w:rPr>
        <w:t>comme</w:t>
      </w:r>
      <w:r w:rsidR="00813250" w:rsidRPr="00D9581F">
        <w:rPr>
          <w:rFonts w:cs="Arial"/>
          <w:szCs w:val="28"/>
        </w:rPr>
        <w:t xml:space="preserve"> le sexe, l</w:t>
      </w:r>
      <w:r w:rsidR="00D114B1" w:rsidRPr="00D9581F">
        <w:rPr>
          <w:rFonts w:cs="Arial"/>
          <w:szCs w:val="28"/>
        </w:rPr>
        <w:t>’</w:t>
      </w:r>
      <w:r w:rsidR="00813250" w:rsidRPr="00D9581F">
        <w:rPr>
          <w:rFonts w:cs="Arial"/>
          <w:szCs w:val="28"/>
        </w:rPr>
        <w:t>origine ethnique ou les formes multiples de handicap. Il s</w:t>
      </w:r>
      <w:r w:rsidR="00D114B1" w:rsidRPr="00D9581F">
        <w:rPr>
          <w:rFonts w:cs="Arial"/>
          <w:szCs w:val="28"/>
        </w:rPr>
        <w:t>’</w:t>
      </w:r>
      <w:r w:rsidR="00813250" w:rsidRPr="00D9581F">
        <w:rPr>
          <w:rFonts w:cs="Arial"/>
          <w:szCs w:val="28"/>
        </w:rPr>
        <w:t>agit là de tendances et de faits généraux, mais savons-nous exactement ce qu</w:t>
      </w:r>
      <w:r w:rsidR="00D114B1" w:rsidRPr="00D9581F">
        <w:rPr>
          <w:rFonts w:cs="Arial"/>
          <w:szCs w:val="28"/>
        </w:rPr>
        <w:t>’</w:t>
      </w:r>
      <w:r w:rsidR="00813250" w:rsidRPr="00D9581F">
        <w:rPr>
          <w:rFonts w:cs="Arial"/>
          <w:szCs w:val="28"/>
        </w:rPr>
        <w:t>il en est ? Cela soulève à nouveau un problème de longue date lié à l</w:t>
      </w:r>
      <w:r w:rsidR="00D114B1" w:rsidRPr="00D9581F">
        <w:rPr>
          <w:rFonts w:cs="Arial"/>
          <w:szCs w:val="28"/>
        </w:rPr>
        <w:t>’</w:t>
      </w:r>
      <w:r w:rsidR="00813250" w:rsidRPr="00D9581F">
        <w:rPr>
          <w:rFonts w:cs="Arial"/>
          <w:szCs w:val="28"/>
        </w:rPr>
        <w:t>absence de données comparables, fiables et officielles, permettant de fournir une vision exhaustive de l</w:t>
      </w:r>
      <w:r w:rsidR="00D114B1" w:rsidRPr="00D9581F">
        <w:rPr>
          <w:rFonts w:cs="Arial"/>
          <w:szCs w:val="28"/>
        </w:rPr>
        <w:t>’</w:t>
      </w:r>
      <w:r w:rsidR="00813250" w:rsidRPr="00D9581F">
        <w:rPr>
          <w:rFonts w:cs="Arial"/>
          <w:szCs w:val="28"/>
        </w:rPr>
        <w:t>emploi des personnes aveugles et malvoyantes dans différents pays, secteurs, groupes d</w:t>
      </w:r>
      <w:r w:rsidR="00D114B1" w:rsidRPr="00D9581F">
        <w:rPr>
          <w:rFonts w:cs="Arial"/>
          <w:szCs w:val="28"/>
        </w:rPr>
        <w:t>’</w:t>
      </w:r>
      <w:r w:rsidR="00813250" w:rsidRPr="00D9581F">
        <w:rPr>
          <w:rFonts w:cs="Arial"/>
          <w:szCs w:val="28"/>
        </w:rPr>
        <w:t>âge, etc. L</w:t>
      </w:r>
      <w:r w:rsidR="00D114B1" w:rsidRPr="00D9581F">
        <w:rPr>
          <w:rFonts w:cs="Arial"/>
          <w:szCs w:val="28"/>
        </w:rPr>
        <w:t>’</w:t>
      </w:r>
      <w:r w:rsidR="00813250" w:rsidRPr="00D9581F">
        <w:rPr>
          <w:rFonts w:cs="Arial"/>
          <w:szCs w:val="28"/>
        </w:rPr>
        <w:t>existence de telles données reste un véritable défi, mais serait une condition préalable à l</w:t>
      </w:r>
      <w:r w:rsidR="00D114B1" w:rsidRPr="00D9581F">
        <w:rPr>
          <w:rFonts w:cs="Arial"/>
          <w:szCs w:val="28"/>
        </w:rPr>
        <w:t>’</w:t>
      </w:r>
      <w:r w:rsidR="00813250" w:rsidRPr="00D9581F">
        <w:rPr>
          <w:rFonts w:cs="Arial"/>
          <w:szCs w:val="28"/>
        </w:rPr>
        <w:t xml:space="preserve">adoption de </w:t>
      </w:r>
      <w:r w:rsidR="00813250" w:rsidRPr="00D9581F">
        <w:rPr>
          <w:rFonts w:cs="Arial"/>
          <w:szCs w:val="28"/>
        </w:rPr>
        <w:lastRenderedPageBreak/>
        <w:t>politiques ciblées et de mesures de soutien pour améliorer l</w:t>
      </w:r>
      <w:r w:rsidR="00D114B1" w:rsidRPr="00D9581F">
        <w:rPr>
          <w:rFonts w:cs="Arial"/>
          <w:szCs w:val="28"/>
        </w:rPr>
        <w:t>’</w:t>
      </w:r>
      <w:r w:rsidR="00813250" w:rsidRPr="00D9581F">
        <w:rPr>
          <w:rFonts w:cs="Arial"/>
          <w:szCs w:val="28"/>
        </w:rPr>
        <w:t>emploi des personnes aveugles et malvoyantes</w:t>
      </w:r>
      <w:r w:rsidR="00147F23" w:rsidRPr="00D9581F">
        <w:rPr>
          <w:rFonts w:cs="Arial"/>
          <w:szCs w:val="28"/>
        </w:rPr>
        <w:t xml:space="preserve">. </w:t>
      </w:r>
    </w:p>
    <w:p w:rsidR="00147F23" w:rsidRPr="00D9581F" w:rsidRDefault="00C30085" w:rsidP="00C30085">
      <w:pPr>
        <w:spacing w:before="120" w:after="120"/>
        <w:rPr>
          <w:rFonts w:cs="Arial"/>
          <w:szCs w:val="28"/>
        </w:rPr>
      </w:pPr>
      <w:r w:rsidRPr="00D9581F">
        <w:rPr>
          <w:rFonts w:cs="Arial"/>
          <w:szCs w:val="28"/>
        </w:rPr>
        <w:t>Je crains que cette édition du Focus ne nous permette pas de mettre en place des systèmes de données fournissant cet ensemble d</w:t>
      </w:r>
      <w:r w:rsidR="00D114B1" w:rsidRPr="00D9581F">
        <w:rPr>
          <w:rFonts w:cs="Arial"/>
          <w:szCs w:val="28"/>
        </w:rPr>
        <w:t>’</w:t>
      </w:r>
      <w:r w:rsidRPr="00D9581F">
        <w:rPr>
          <w:rFonts w:cs="Arial"/>
          <w:szCs w:val="28"/>
        </w:rPr>
        <w:t xml:space="preserve">éléments dont nous avons tant besoin. Elle contient néanmoins des informations et des articles qui incitent à la réflexion et nous aident à poursuivre nos efforts </w:t>
      </w:r>
      <w:r w:rsidR="008F2EAA" w:rsidRPr="00D9581F">
        <w:rPr>
          <w:rFonts w:cs="Arial"/>
          <w:szCs w:val="28"/>
        </w:rPr>
        <w:t xml:space="preserve">pour permettre à </w:t>
      </w:r>
      <w:r w:rsidRPr="00D9581F">
        <w:rPr>
          <w:rFonts w:cs="Arial"/>
          <w:szCs w:val="28"/>
        </w:rPr>
        <w:t xml:space="preserve">davantage de personnes aveugles et malvoyantes </w:t>
      </w:r>
      <w:r w:rsidR="008F2EAA" w:rsidRPr="00D9581F">
        <w:rPr>
          <w:rFonts w:cs="Arial"/>
          <w:szCs w:val="28"/>
        </w:rPr>
        <w:t>d’accéder</w:t>
      </w:r>
      <w:r w:rsidRPr="00D9581F">
        <w:rPr>
          <w:rFonts w:cs="Arial"/>
          <w:szCs w:val="28"/>
        </w:rPr>
        <w:t xml:space="preserve"> à l</w:t>
      </w:r>
      <w:r w:rsidR="00D114B1" w:rsidRPr="00D9581F">
        <w:rPr>
          <w:rFonts w:cs="Arial"/>
          <w:szCs w:val="28"/>
        </w:rPr>
        <w:t>’</w:t>
      </w:r>
      <w:r w:rsidRPr="00D9581F">
        <w:rPr>
          <w:rFonts w:cs="Arial"/>
          <w:szCs w:val="28"/>
        </w:rPr>
        <w:t xml:space="preserve">emploi : </w:t>
      </w:r>
      <w:r w:rsidR="004A32D1" w:rsidRPr="00D9581F">
        <w:rPr>
          <w:rFonts w:cs="Arial"/>
          <w:szCs w:val="28"/>
        </w:rPr>
        <w:t>il s’agit notamment d’</w:t>
      </w:r>
      <w:r w:rsidRPr="00D9581F">
        <w:rPr>
          <w:rFonts w:cs="Arial"/>
          <w:szCs w:val="28"/>
        </w:rPr>
        <w:t xml:space="preserve">un travail de recherche très intéressant mené par notre membre serbe qui a recueilli des données pertinentes </w:t>
      </w:r>
      <w:r w:rsidR="00870763" w:rsidRPr="00D9581F">
        <w:rPr>
          <w:rFonts w:cs="Arial"/>
          <w:szCs w:val="28"/>
        </w:rPr>
        <w:t>en matière d</w:t>
      </w:r>
      <w:r w:rsidR="00D114B1" w:rsidRPr="00D9581F">
        <w:rPr>
          <w:rFonts w:cs="Arial"/>
          <w:szCs w:val="28"/>
        </w:rPr>
        <w:t>’</w:t>
      </w:r>
      <w:r w:rsidRPr="00D9581F">
        <w:rPr>
          <w:rFonts w:cs="Arial"/>
          <w:szCs w:val="28"/>
        </w:rPr>
        <w:t>emploi. Toujours dans le domaine des données, ce Focus contient également un article encourageant d</w:t>
      </w:r>
      <w:r w:rsidR="00D114B1" w:rsidRPr="00D9581F">
        <w:rPr>
          <w:rFonts w:cs="Arial"/>
          <w:szCs w:val="28"/>
        </w:rPr>
        <w:t>’</w:t>
      </w:r>
      <w:r w:rsidRPr="00D9581F">
        <w:rPr>
          <w:rFonts w:cs="Arial"/>
          <w:szCs w:val="28"/>
        </w:rPr>
        <w:t>EuroStat sur les derniers projets</w:t>
      </w:r>
      <w:r w:rsidR="004A4D7E" w:rsidRPr="00D9581F">
        <w:rPr>
          <w:rFonts w:cs="Arial"/>
          <w:szCs w:val="28"/>
        </w:rPr>
        <w:t xml:space="preserve"> et avancées</w:t>
      </w:r>
      <w:r w:rsidRPr="00D9581F">
        <w:rPr>
          <w:rFonts w:cs="Arial"/>
          <w:szCs w:val="28"/>
        </w:rPr>
        <w:t xml:space="preserve"> </w:t>
      </w:r>
      <w:r w:rsidR="004A4D7E" w:rsidRPr="00D9581F">
        <w:rPr>
          <w:rFonts w:cs="Arial"/>
          <w:szCs w:val="28"/>
        </w:rPr>
        <w:t>destinés</w:t>
      </w:r>
      <w:r w:rsidRPr="00D9581F">
        <w:rPr>
          <w:rFonts w:cs="Arial"/>
          <w:szCs w:val="28"/>
        </w:rPr>
        <w:t xml:space="preserve"> à combler </w:t>
      </w:r>
      <w:r w:rsidR="005231F7" w:rsidRPr="00D9581F">
        <w:rPr>
          <w:rFonts w:cs="Arial"/>
          <w:szCs w:val="28"/>
        </w:rPr>
        <w:t>le déficit de données en matière de handicap</w:t>
      </w:r>
      <w:r w:rsidRPr="00D9581F">
        <w:rPr>
          <w:rFonts w:cs="Arial"/>
          <w:szCs w:val="28"/>
        </w:rPr>
        <w:t xml:space="preserve">. Dans le même temps, la question de savoir comment </w:t>
      </w:r>
      <w:r w:rsidR="0092498D" w:rsidRPr="00D9581F">
        <w:rPr>
          <w:rFonts w:cs="Arial"/>
          <w:szCs w:val="28"/>
        </w:rPr>
        <w:t>ventiler</w:t>
      </w:r>
      <w:r w:rsidRPr="00D9581F">
        <w:rPr>
          <w:rFonts w:cs="Arial"/>
          <w:szCs w:val="28"/>
        </w:rPr>
        <w:t xml:space="preserve"> les données pour prendre</w:t>
      </w:r>
      <w:r w:rsidR="0092498D" w:rsidRPr="00D9581F">
        <w:rPr>
          <w:rFonts w:cs="Arial"/>
          <w:szCs w:val="28"/>
        </w:rPr>
        <w:t xml:space="preserve"> </w:t>
      </w:r>
      <w:r w:rsidR="00FA7D8C" w:rsidRPr="00D9581F">
        <w:rPr>
          <w:rFonts w:cs="Arial"/>
          <w:szCs w:val="28"/>
        </w:rPr>
        <w:t>également</w:t>
      </w:r>
      <w:r w:rsidRPr="00D9581F">
        <w:rPr>
          <w:rFonts w:cs="Arial"/>
          <w:szCs w:val="28"/>
        </w:rPr>
        <w:t xml:space="preserve"> en compte la cécité et la malvoyance reste ouverte. Vous lirez </w:t>
      </w:r>
      <w:r w:rsidR="0060610F" w:rsidRPr="00D9581F">
        <w:rPr>
          <w:rFonts w:cs="Arial"/>
          <w:szCs w:val="28"/>
        </w:rPr>
        <w:t>aussi</w:t>
      </w:r>
      <w:r w:rsidRPr="00D9581F">
        <w:rPr>
          <w:rFonts w:cs="Arial"/>
          <w:szCs w:val="28"/>
        </w:rPr>
        <w:t xml:space="preserve"> avec intérêt </w:t>
      </w:r>
      <w:r w:rsidR="0092498D" w:rsidRPr="00D9581F">
        <w:rPr>
          <w:rFonts w:cs="Arial"/>
          <w:szCs w:val="28"/>
        </w:rPr>
        <w:t>un témoignage d</w:t>
      </w:r>
      <w:r w:rsidR="00D114B1" w:rsidRPr="00D9581F">
        <w:rPr>
          <w:rFonts w:cs="Arial"/>
          <w:szCs w:val="28"/>
        </w:rPr>
        <w:t>’</w:t>
      </w:r>
      <w:r w:rsidR="0092498D" w:rsidRPr="00D9581F">
        <w:rPr>
          <w:rFonts w:cs="Arial"/>
          <w:szCs w:val="28"/>
        </w:rPr>
        <w:t>Estonie</w:t>
      </w:r>
      <w:r w:rsidRPr="00D9581F">
        <w:rPr>
          <w:rFonts w:cs="Arial"/>
          <w:szCs w:val="28"/>
        </w:rPr>
        <w:t xml:space="preserve"> qui met en lumière l</w:t>
      </w:r>
      <w:r w:rsidR="00D114B1" w:rsidRPr="00D9581F">
        <w:rPr>
          <w:rFonts w:cs="Arial"/>
          <w:szCs w:val="28"/>
        </w:rPr>
        <w:t>’</w:t>
      </w:r>
      <w:r w:rsidRPr="00D9581F">
        <w:rPr>
          <w:rFonts w:cs="Arial"/>
          <w:szCs w:val="28"/>
        </w:rPr>
        <w:t>évolution rapide de l</w:t>
      </w:r>
      <w:r w:rsidR="00D114B1" w:rsidRPr="00D9581F">
        <w:rPr>
          <w:rFonts w:cs="Arial"/>
          <w:szCs w:val="28"/>
        </w:rPr>
        <w:t>’</w:t>
      </w:r>
      <w:r w:rsidRPr="00D9581F">
        <w:rPr>
          <w:rFonts w:cs="Arial"/>
          <w:szCs w:val="28"/>
        </w:rPr>
        <w:t xml:space="preserve">emploi grâce à la technologie, ainsi que les défis et </w:t>
      </w:r>
      <w:r w:rsidR="008877EB" w:rsidRPr="00D9581F">
        <w:rPr>
          <w:rFonts w:cs="Arial"/>
          <w:szCs w:val="28"/>
        </w:rPr>
        <w:t>possibilités</w:t>
      </w:r>
      <w:r w:rsidRPr="00D9581F">
        <w:rPr>
          <w:rFonts w:cs="Arial"/>
          <w:szCs w:val="28"/>
        </w:rPr>
        <w:t xml:space="preserve"> qui en découlent. En bref, cette édition présente</w:t>
      </w:r>
      <w:r w:rsidR="008877EB" w:rsidRPr="00D9581F">
        <w:rPr>
          <w:rFonts w:cs="Arial"/>
          <w:szCs w:val="28"/>
        </w:rPr>
        <w:t xml:space="preserve"> seulement</w:t>
      </w:r>
      <w:r w:rsidRPr="00D9581F">
        <w:rPr>
          <w:rFonts w:cs="Arial"/>
          <w:szCs w:val="28"/>
        </w:rPr>
        <w:t xml:space="preserve"> quelques aspects clés </w:t>
      </w:r>
      <w:r w:rsidR="00B51AED" w:rsidRPr="00D9581F">
        <w:rPr>
          <w:rFonts w:cs="Arial"/>
          <w:szCs w:val="28"/>
        </w:rPr>
        <w:t>en matière d</w:t>
      </w:r>
      <w:r w:rsidR="00D114B1" w:rsidRPr="00D9581F">
        <w:rPr>
          <w:rFonts w:cs="Arial"/>
          <w:szCs w:val="28"/>
        </w:rPr>
        <w:t>’</w:t>
      </w:r>
      <w:r w:rsidRPr="00D9581F">
        <w:rPr>
          <w:rFonts w:cs="Arial"/>
          <w:szCs w:val="28"/>
        </w:rPr>
        <w:t xml:space="preserve">emploi, </w:t>
      </w:r>
      <w:r w:rsidR="008877EB" w:rsidRPr="00D9581F">
        <w:rPr>
          <w:rFonts w:cs="Arial"/>
          <w:szCs w:val="28"/>
        </w:rPr>
        <w:t>mais ce</w:t>
      </w:r>
      <w:r w:rsidRPr="00D9581F">
        <w:rPr>
          <w:rFonts w:cs="Arial"/>
          <w:szCs w:val="28"/>
        </w:rPr>
        <w:t xml:space="preserve"> thème reste </w:t>
      </w:r>
      <w:r w:rsidR="0050283B" w:rsidRPr="00D9581F">
        <w:rPr>
          <w:rFonts w:cs="Arial"/>
          <w:szCs w:val="28"/>
        </w:rPr>
        <w:t xml:space="preserve">notre principale priorité </w:t>
      </w:r>
      <w:r w:rsidRPr="00D9581F">
        <w:rPr>
          <w:rFonts w:cs="Arial"/>
          <w:szCs w:val="28"/>
        </w:rPr>
        <w:t>pour de nombreuses années à venir </w:t>
      </w:r>
      <w:r w:rsidR="00147F23" w:rsidRPr="00D9581F">
        <w:rPr>
          <w:rFonts w:cs="Arial"/>
          <w:szCs w:val="28"/>
        </w:rPr>
        <w:t>!</w:t>
      </w:r>
    </w:p>
    <w:p w:rsidR="00147F23" w:rsidRPr="00D9581F" w:rsidRDefault="00147F23" w:rsidP="00147F23">
      <w:pPr>
        <w:rPr>
          <w:rFonts w:cs="Arial"/>
          <w:b/>
          <w:bCs/>
          <w:szCs w:val="28"/>
          <w:lang w:eastAsia="en-GB"/>
        </w:rPr>
      </w:pPr>
      <w:r w:rsidRPr="00D9581F">
        <w:rPr>
          <w:rFonts w:cs="Arial"/>
          <w:b/>
          <w:bCs/>
          <w:szCs w:val="28"/>
          <w:lang w:eastAsia="en-GB"/>
        </w:rPr>
        <w:t>Lars Bosselmann</w:t>
      </w:r>
    </w:p>
    <w:p w:rsidR="00083785" w:rsidRPr="00D9581F" w:rsidRDefault="00B51AED" w:rsidP="00147F23">
      <w:r w:rsidRPr="00D9581F">
        <w:rPr>
          <w:rFonts w:cs="Arial"/>
          <w:szCs w:val="28"/>
          <w:lang w:eastAsia="en-GB"/>
        </w:rPr>
        <w:t>Directeur Exécutif de l</w:t>
      </w:r>
      <w:r w:rsidR="00D114B1" w:rsidRPr="00D9581F">
        <w:rPr>
          <w:rFonts w:cs="Arial"/>
          <w:szCs w:val="28"/>
          <w:lang w:eastAsia="en-GB"/>
        </w:rPr>
        <w:t>’</w:t>
      </w:r>
      <w:r w:rsidRPr="00D9581F">
        <w:rPr>
          <w:rFonts w:cs="Arial"/>
          <w:szCs w:val="28"/>
          <w:lang w:eastAsia="en-GB"/>
        </w:rPr>
        <w:t>UEA</w:t>
      </w:r>
    </w:p>
    <w:p w:rsidR="00147F23" w:rsidRPr="00D9581F" w:rsidRDefault="001056FF" w:rsidP="00147F23">
      <w:pPr>
        <w:pStyle w:val="Titre2"/>
        <w:rPr>
          <w:lang w:val="fr-FR"/>
        </w:rPr>
      </w:pPr>
      <w:r w:rsidRPr="00D9581F">
        <w:rPr>
          <w:lang w:val="fr-FR"/>
        </w:rPr>
        <w:t>L</w:t>
      </w:r>
      <w:r w:rsidR="00D114B1" w:rsidRPr="00D9581F">
        <w:rPr>
          <w:lang w:val="fr-FR"/>
        </w:rPr>
        <w:t>’</w:t>
      </w:r>
      <w:r w:rsidRPr="00D9581F">
        <w:rPr>
          <w:lang w:val="fr-FR"/>
        </w:rPr>
        <w:t>emploi des personnes déficientes visuelles en République de Serbie</w:t>
      </w:r>
    </w:p>
    <w:p w:rsidR="00147F23" w:rsidRPr="00D9581F" w:rsidRDefault="00147F23" w:rsidP="00147F23">
      <w:pPr>
        <w:pStyle w:val="Titre3"/>
        <w:rPr>
          <w:lang w:val="fr-FR"/>
        </w:rPr>
      </w:pPr>
      <w:r w:rsidRPr="00D9581F">
        <w:rPr>
          <w:lang w:val="fr-FR"/>
        </w:rPr>
        <w:t>Introduction</w:t>
      </w:r>
    </w:p>
    <w:p w:rsidR="00147F23" w:rsidRPr="00D9581F" w:rsidRDefault="00D8318D" w:rsidP="00147F23">
      <w:r w:rsidRPr="00D9581F">
        <w:t>L</w:t>
      </w:r>
      <w:r w:rsidR="00D114B1" w:rsidRPr="00D9581F">
        <w:t>’</w:t>
      </w:r>
      <w:r w:rsidRPr="00D9581F">
        <w:t xml:space="preserve">emploi occupe une place centrale dans </w:t>
      </w:r>
      <w:r w:rsidR="006F7B89" w:rsidRPr="00D9581F">
        <w:t>la vie de tout un chacun</w:t>
      </w:r>
      <w:r w:rsidRPr="00D9581F">
        <w:t xml:space="preserve">. Il offre une sécurité financière, une </w:t>
      </w:r>
      <w:r w:rsidR="006F7B89" w:rsidRPr="00D9581F">
        <w:t>existence</w:t>
      </w:r>
      <w:r w:rsidRPr="00D9581F">
        <w:t xml:space="preserve"> stable, une activité professionnelle et une productivité, ainsi que la possibilité de tisser </w:t>
      </w:r>
      <w:r w:rsidR="006F7B89" w:rsidRPr="00D9581F">
        <w:t xml:space="preserve">et d’entretenir </w:t>
      </w:r>
      <w:r w:rsidRPr="00D9581F">
        <w:t>des liens</w:t>
      </w:r>
      <w:r w:rsidR="006F7B89" w:rsidRPr="00D9581F">
        <w:t xml:space="preserve"> avec autrui</w:t>
      </w:r>
      <w:r w:rsidRPr="00D9581F">
        <w:t>. Le processus d</w:t>
      </w:r>
      <w:r w:rsidR="00D114B1" w:rsidRPr="00D9581F">
        <w:t>’</w:t>
      </w:r>
      <w:r w:rsidRPr="00D9581F">
        <w:t>emploi comporte de nombreux défis.</w:t>
      </w:r>
      <w:r w:rsidR="00DD1425" w:rsidRPr="00D9581F">
        <w:t xml:space="preserve"> En Serbie, l</w:t>
      </w:r>
      <w:r w:rsidRPr="00D9581F">
        <w:t>e taux de chômage est très élevé</w:t>
      </w:r>
      <w:r w:rsidR="006F7B89" w:rsidRPr="00D9581F">
        <w:t>,</w:t>
      </w:r>
      <w:r w:rsidRPr="00D9581F">
        <w:t xml:space="preserve"> et plus </w:t>
      </w:r>
      <w:r w:rsidR="006F7B89" w:rsidRPr="00D9581F">
        <w:t xml:space="preserve">encore </w:t>
      </w:r>
      <w:r w:rsidRPr="00D9581F">
        <w:t>chez les personnes atteintes de déficience visuelle. Au cours du 20</w:t>
      </w:r>
      <w:r w:rsidRPr="00D9581F">
        <w:rPr>
          <w:vertAlign w:val="superscript"/>
        </w:rPr>
        <w:t>ème</w:t>
      </w:r>
      <w:r w:rsidRPr="00D9581F">
        <w:t xml:space="preserve"> siècle, la </w:t>
      </w:r>
      <w:r w:rsidR="00CB7126" w:rsidRPr="00D9581F">
        <w:t>palette</w:t>
      </w:r>
      <w:r w:rsidRPr="00D9581F">
        <w:t xml:space="preserve"> de métiers exercés par les personnes déficientes visuelles n</w:t>
      </w:r>
      <w:r w:rsidR="00D114B1" w:rsidRPr="00D9581F">
        <w:t>’</w:t>
      </w:r>
      <w:r w:rsidRPr="00D9581F">
        <w:t xml:space="preserve">était pas très </w:t>
      </w:r>
      <w:r w:rsidR="00CB7126" w:rsidRPr="00D9581F">
        <w:t>étendue</w:t>
      </w:r>
      <w:r w:rsidRPr="00D9581F">
        <w:t xml:space="preserve">. Il y avait des professions telles que </w:t>
      </w:r>
      <w:r w:rsidR="007F7BA4" w:rsidRPr="00D9581F">
        <w:t xml:space="preserve">les kinésithérapeutes </w:t>
      </w:r>
      <w:r w:rsidRPr="00D9581F">
        <w:t xml:space="preserve">et les opérateurs téléphoniques, mais aussi des personnes hautement qualifiées dans des domaines </w:t>
      </w:r>
      <w:r w:rsidR="007F7BA4" w:rsidRPr="00D9581F">
        <w:t xml:space="preserve">comme </w:t>
      </w:r>
      <w:r w:rsidRPr="00D9581F">
        <w:t>le droit, les langues, la sociologie, la psychologie, la pédagogie spécial</w:t>
      </w:r>
      <w:r w:rsidR="00693BB0" w:rsidRPr="00D9581F">
        <w:t>isé</w:t>
      </w:r>
      <w:r w:rsidRPr="00D9581F">
        <w:t>e, le journalisme et d</w:t>
      </w:r>
      <w:r w:rsidR="00D114B1" w:rsidRPr="00D9581F">
        <w:t>’</w:t>
      </w:r>
      <w:r w:rsidRPr="00D9581F">
        <w:t>autres sciences sociales</w:t>
      </w:r>
      <w:r w:rsidR="00147F23" w:rsidRPr="00D9581F">
        <w:t>.</w:t>
      </w:r>
    </w:p>
    <w:p w:rsidR="00147F23" w:rsidRPr="00D9581F" w:rsidRDefault="007F7BA4" w:rsidP="00147F23">
      <w:r w:rsidRPr="00D9581F">
        <w:t>Durant les</w:t>
      </w:r>
      <w:r w:rsidR="00CA63D5" w:rsidRPr="00D9581F">
        <w:t xml:space="preserve"> dernières décennies, avec le développement des nouvelles technologies de l</w:t>
      </w:r>
      <w:r w:rsidR="00D114B1" w:rsidRPr="00D9581F">
        <w:t>’</w:t>
      </w:r>
      <w:r w:rsidR="00CA63D5" w:rsidRPr="00D9581F">
        <w:t>information, l</w:t>
      </w:r>
      <w:r w:rsidR="00D114B1" w:rsidRPr="00D9581F">
        <w:t>’</w:t>
      </w:r>
      <w:r w:rsidR="00CA63D5" w:rsidRPr="00D9581F">
        <w:t>éventail des professions s</w:t>
      </w:r>
      <w:r w:rsidR="00D114B1" w:rsidRPr="00D9581F">
        <w:t>’</w:t>
      </w:r>
      <w:r w:rsidR="00CA63D5" w:rsidRPr="00D9581F">
        <w:t xml:space="preserve">est élargi. </w:t>
      </w:r>
      <w:r w:rsidR="00CA63D5" w:rsidRPr="00D9581F">
        <w:lastRenderedPageBreak/>
        <w:t>L</w:t>
      </w:r>
      <w:r w:rsidR="00D114B1" w:rsidRPr="00D9581F">
        <w:t>’</w:t>
      </w:r>
      <w:r w:rsidR="00CA63D5" w:rsidRPr="00D9581F">
        <w:t>utilisation de l</w:t>
      </w:r>
      <w:r w:rsidR="00D114B1" w:rsidRPr="00D9581F">
        <w:t>’</w:t>
      </w:r>
      <w:r w:rsidR="00CA63D5" w:rsidRPr="00D9581F">
        <w:t>informatique</w:t>
      </w:r>
      <w:r w:rsidRPr="00D9581F">
        <w:t xml:space="preserve"> a ouvert</w:t>
      </w:r>
      <w:r w:rsidR="00CA63D5" w:rsidRPr="00D9581F">
        <w:t xml:space="preserve"> de nouvelles possibilités d</w:t>
      </w:r>
      <w:r w:rsidR="00D114B1" w:rsidRPr="00D9581F">
        <w:t>’</w:t>
      </w:r>
      <w:r w:rsidR="00CA63D5" w:rsidRPr="00D9581F">
        <w:t xml:space="preserve">emplois aux personnes déficientes visuelles, </w:t>
      </w:r>
      <w:r w:rsidRPr="00D9581F">
        <w:t xml:space="preserve">tout en leur offrant </w:t>
      </w:r>
      <w:r w:rsidR="00CA63D5" w:rsidRPr="00D9581F">
        <w:t>davantage d</w:t>
      </w:r>
      <w:r w:rsidR="00D114B1" w:rsidRPr="00D9581F">
        <w:t>’</w:t>
      </w:r>
      <w:r w:rsidR="00CA63D5" w:rsidRPr="00D9581F">
        <w:t>autonomie dans les emplois existants</w:t>
      </w:r>
      <w:r w:rsidR="00147F23" w:rsidRPr="00D9581F">
        <w:t>.</w:t>
      </w:r>
    </w:p>
    <w:p w:rsidR="00147F23" w:rsidRPr="00D9581F" w:rsidRDefault="00CC2255" w:rsidP="00147F23">
      <w:r w:rsidRPr="00D9581F">
        <w:t>À l</w:t>
      </w:r>
      <w:r w:rsidR="00D114B1" w:rsidRPr="00D9581F">
        <w:t>’</w:t>
      </w:r>
      <w:r w:rsidRPr="00D9581F">
        <w:t>occasion de la conférence annuelle sur l</w:t>
      </w:r>
      <w:r w:rsidR="00D114B1" w:rsidRPr="00D9581F">
        <w:t>’</w:t>
      </w:r>
      <w:r w:rsidRPr="00D9581F">
        <w:t>emploi organisée par l</w:t>
      </w:r>
      <w:r w:rsidR="00D114B1" w:rsidRPr="00D9581F">
        <w:t>’</w:t>
      </w:r>
      <w:r w:rsidRPr="00D9581F">
        <w:t xml:space="preserve">Union </w:t>
      </w:r>
      <w:r w:rsidR="002B7927" w:rsidRPr="00D9581F">
        <w:t xml:space="preserve">Européenne </w:t>
      </w:r>
      <w:r w:rsidRPr="00D9581F">
        <w:t xml:space="preserve">des </w:t>
      </w:r>
      <w:r w:rsidR="008B767D" w:rsidRPr="00D9581F">
        <w:t xml:space="preserve">Aveugles </w:t>
      </w:r>
      <w:r w:rsidRPr="00D9581F">
        <w:t>(</w:t>
      </w:r>
      <w:r w:rsidR="002B7927" w:rsidRPr="00D9581F">
        <w:t>UEA</w:t>
      </w:r>
      <w:r w:rsidRPr="00D9581F">
        <w:t>), qui s</w:t>
      </w:r>
      <w:r w:rsidR="00D114B1" w:rsidRPr="00D9581F">
        <w:t>’</w:t>
      </w:r>
      <w:r w:rsidRPr="00D9581F">
        <w:t>est tenue cette année à Belgrade, l</w:t>
      </w:r>
      <w:r w:rsidR="00D114B1" w:rsidRPr="00D9581F">
        <w:t>’</w:t>
      </w:r>
      <w:r w:rsidRPr="00D9581F">
        <w:t xml:space="preserve">Union des </w:t>
      </w:r>
      <w:r w:rsidR="008B767D" w:rsidRPr="00D9581F">
        <w:t xml:space="preserve">Aveugles </w:t>
      </w:r>
      <w:r w:rsidRPr="00D9581F">
        <w:t xml:space="preserve">de Serbie a mené une </w:t>
      </w:r>
      <w:r w:rsidR="008B767D" w:rsidRPr="00D9581F">
        <w:t>étude</w:t>
      </w:r>
      <w:r w:rsidRPr="00D9581F">
        <w:t xml:space="preserve"> sur le statut de l</w:t>
      </w:r>
      <w:r w:rsidR="00D114B1" w:rsidRPr="00D9581F">
        <w:t>’</w:t>
      </w:r>
      <w:r w:rsidRPr="00D9581F">
        <w:t xml:space="preserve">emploi des personnes déficientes visuelles en République de Serbie. Ce document analyse les résultats de cette </w:t>
      </w:r>
      <w:r w:rsidR="008B767D" w:rsidRPr="00D9581F">
        <w:t>étude</w:t>
      </w:r>
      <w:r w:rsidRPr="00D9581F">
        <w:t xml:space="preserve">. (Le </w:t>
      </w:r>
      <w:hyperlink r:id="rId11" w:history="1">
        <w:r w:rsidRPr="00B3707B">
          <w:rPr>
            <w:rStyle w:val="Lienhypertexte"/>
          </w:rPr>
          <w:t>rapport complet</w:t>
        </w:r>
      </w:hyperlink>
      <w:bookmarkStart w:id="0" w:name="_GoBack"/>
      <w:bookmarkEnd w:id="0"/>
      <w:r w:rsidRPr="00D9581F">
        <w:t xml:space="preserve"> est également disponible</w:t>
      </w:r>
      <w:r w:rsidR="00D7280E" w:rsidRPr="00D9581F">
        <w:t>.</w:t>
      </w:r>
      <w:r w:rsidR="00147F23" w:rsidRPr="00D9581F">
        <w:t>)</w:t>
      </w:r>
    </w:p>
    <w:p w:rsidR="00147F23" w:rsidRPr="00D9581F" w:rsidRDefault="00383C99" w:rsidP="00147F23">
      <w:pPr>
        <w:pStyle w:val="Titre3"/>
        <w:rPr>
          <w:lang w:val="fr-FR"/>
        </w:rPr>
      </w:pPr>
      <w:r w:rsidRPr="00D9581F">
        <w:rPr>
          <w:rStyle w:val="Titre3Car"/>
          <w:b/>
          <w:bCs/>
          <w:lang w:val="fr-FR"/>
        </w:rPr>
        <w:t>É</w:t>
      </w:r>
      <w:r w:rsidR="00D57E58" w:rsidRPr="00D9581F">
        <w:rPr>
          <w:rStyle w:val="Titre3Car"/>
          <w:b/>
          <w:bCs/>
          <w:lang w:val="fr-FR"/>
        </w:rPr>
        <w:t xml:space="preserve">chantillon de </w:t>
      </w:r>
      <w:r w:rsidR="00E90558" w:rsidRPr="00D9581F">
        <w:rPr>
          <w:rStyle w:val="Titre3Car"/>
          <w:b/>
          <w:bCs/>
          <w:lang w:val="fr-FR"/>
        </w:rPr>
        <w:t>recherche</w:t>
      </w:r>
      <w:r w:rsidR="00D57E58" w:rsidRPr="00D9581F">
        <w:rPr>
          <w:lang w:val="fr-FR"/>
        </w:rPr>
        <w:t> </w:t>
      </w:r>
      <w:r w:rsidR="00147F23" w:rsidRPr="00D9581F">
        <w:rPr>
          <w:lang w:val="fr-FR"/>
        </w:rPr>
        <w:t>:</w:t>
      </w:r>
    </w:p>
    <w:p w:rsidR="00C62A41" w:rsidRPr="00D9581F" w:rsidRDefault="00C62A41" w:rsidP="00C62A41">
      <w:r w:rsidRPr="00D9581F">
        <w:t>L</w:t>
      </w:r>
      <w:r w:rsidR="00D114B1" w:rsidRPr="00D9581F">
        <w:t>’</w:t>
      </w:r>
      <w:r w:rsidRPr="00D9581F">
        <w:t>échantillon était composé de 124 sujets, dont 51,6 % de femmes et 48,4 % d</w:t>
      </w:r>
      <w:r w:rsidR="00D114B1" w:rsidRPr="00D9581F">
        <w:t>’</w:t>
      </w:r>
      <w:r w:rsidRPr="00D9581F">
        <w:t>hommes.</w:t>
      </w:r>
    </w:p>
    <w:p w:rsidR="00C62A41" w:rsidRPr="00D9581F" w:rsidRDefault="00C62A41" w:rsidP="00C62A41">
      <w:r w:rsidRPr="00D9581F">
        <w:t>L</w:t>
      </w:r>
      <w:r w:rsidR="00D114B1" w:rsidRPr="00D9581F">
        <w:t>’</w:t>
      </w:r>
      <w:r w:rsidRPr="00D9581F">
        <w:t>âge des sujets variait entre 18 et 62 ans, mais la majorité des réponses ont été données par des sujets âgés de 30 à 35 ans.</w:t>
      </w:r>
    </w:p>
    <w:p w:rsidR="00C62A41" w:rsidRPr="00D9581F" w:rsidRDefault="00C62A41" w:rsidP="00C62A41">
      <w:r w:rsidRPr="00D9581F">
        <w:t xml:space="preserve">Les réponses ont été </w:t>
      </w:r>
      <w:r w:rsidR="00D7280E" w:rsidRPr="00D9581F">
        <w:t>envoyées</w:t>
      </w:r>
      <w:r w:rsidRPr="00D9581F">
        <w:t xml:space="preserve"> de 39 villes de Serbie, mais la majorité </w:t>
      </w:r>
      <w:r w:rsidR="00D7280E" w:rsidRPr="00D9581F">
        <w:t>d’entre elles</w:t>
      </w:r>
      <w:r w:rsidRPr="00D9581F">
        <w:t xml:space="preserve"> </w:t>
      </w:r>
      <w:r w:rsidR="00D7280E" w:rsidRPr="00D9581F">
        <w:t>proviennent</w:t>
      </w:r>
      <w:r w:rsidRPr="00D9581F">
        <w:t xml:space="preserve"> de la région de Belgrade (29).</w:t>
      </w:r>
    </w:p>
    <w:p w:rsidR="00C62A41" w:rsidRPr="00D9581F" w:rsidRDefault="00C62A41" w:rsidP="00C62A41">
      <w:r w:rsidRPr="00D9581F">
        <w:t>55,6</w:t>
      </w:r>
      <w:r w:rsidR="000306B9" w:rsidRPr="00D9581F">
        <w:t> </w:t>
      </w:r>
      <w:r w:rsidRPr="00D9581F">
        <w:t>% de</w:t>
      </w:r>
      <w:r w:rsidR="00090CA8" w:rsidRPr="00D9581F">
        <w:t>s</w:t>
      </w:r>
      <w:r w:rsidRPr="00D9581F">
        <w:t xml:space="preserve"> sujets </w:t>
      </w:r>
      <w:r w:rsidR="00090CA8" w:rsidRPr="00D9581F">
        <w:t xml:space="preserve">étaient </w:t>
      </w:r>
      <w:r w:rsidRPr="00D9581F">
        <w:t>totalement aveugles et 44,4</w:t>
      </w:r>
      <w:r w:rsidR="000306B9" w:rsidRPr="00D9581F">
        <w:t> </w:t>
      </w:r>
      <w:r w:rsidRPr="00D9581F">
        <w:t xml:space="preserve">% </w:t>
      </w:r>
      <w:r w:rsidR="00090CA8" w:rsidRPr="00D9581F">
        <w:t>d’entre eux</w:t>
      </w:r>
      <w:r w:rsidRPr="00D9581F">
        <w:t xml:space="preserve"> malvoyants.</w:t>
      </w:r>
    </w:p>
    <w:p w:rsidR="00C62A41" w:rsidRPr="00D9581F" w:rsidRDefault="00C62A41" w:rsidP="00C62A41">
      <w:r w:rsidRPr="00D9581F">
        <w:t>L</w:t>
      </w:r>
      <w:r w:rsidR="00D114B1" w:rsidRPr="00D9581F">
        <w:t>’</w:t>
      </w:r>
      <w:r w:rsidRPr="00D9581F">
        <w:t xml:space="preserve">âge de la perte de </w:t>
      </w:r>
      <w:r w:rsidR="00CB7126" w:rsidRPr="00D9581F">
        <w:t xml:space="preserve">la </w:t>
      </w:r>
      <w:r w:rsidRPr="00D9581F">
        <w:t xml:space="preserve">vue </w:t>
      </w:r>
      <w:r w:rsidR="00776DB0" w:rsidRPr="00D9581F">
        <w:t>remontait à la</w:t>
      </w:r>
      <w:r w:rsidRPr="00D9581F">
        <w:t xml:space="preserve"> naissance </w:t>
      </w:r>
      <w:r w:rsidR="00776DB0" w:rsidRPr="00D9581F">
        <w:t xml:space="preserve">pour </w:t>
      </w:r>
      <w:r w:rsidRPr="00D9581F">
        <w:t>67,7</w:t>
      </w:r>
      <w:r w:rsidR="000306B9" w:rsidRPr="00D9581F">
        <w:t> </w:t>
      </w:r>
      <w:r w:rsidRPr="00D9581F">
        <w:t>%</w:t>
      </w:r>
      <w:r w:rsidR="00776DB0" w:rsidRPr="00D9581F">
        <w:t xml:space="preserve"> </w:t>
      </w:r>
      <w:r w:rsidR="00490A29" w:rsidRPr="00D9581F">
        <w:t>des personnes interrogées,</w:t>
      </w:r>
      <w:r w:rsidRPr="00D9581F">
        <w:t xml:space="preserve"> à l</w:t>
      </w:r>
      <w:r w:rsidR="00D114B1" w:rsidRPr="00D9581F">
        <w:t>’</w:t>
      </w:r>
      <w:r w:rsidRPr="00D9581F">
        <w:t>âge scolaire</w:t>
      </w:r>
      <w:r w:rsidR="00776DB0" w:rsidRPr="00D9581F">
        <w:t xml:space="preserve"> pour</w:t>
      </w:r>
      <w:r w:rsidRPr="00D9581F">
        <w:t xml:space="preserve"> 20,2</w:t>
      </w:r>
      <w:r w:rsidR="000306B9" w:rsidRPr="00D9581F">
        <w:t> </w:t>
      </w:r>
      <w:r w:rsidRPr="00D9581F">
        <w:t>%</w:t>
      </w:r>
      <w:r w:rsidR="00490A29" w:rsidRPr="00D9581F">
        <w:t xml:space="preserve"> d’entre elles</w:t>
      </w:r>
      <w:r w:rsidRPr="00D9581F">
        <w:t xml:space="preserve">, </w:t>
      </w:r>
      <w:r w:rsidR="00776DB0" w:rsidRPr="00D9581F">
        <w:t xml:space="preserve">ou est survenu </w:t>
      </w:r>
      <w:r w:rsidRPr="00D9581F">
        <w:t xml:space="preserve">plus tard </w:t>
      </w:r>
      <w:r w:rsidR="00776DB0" w:rsidRPr="00D9581F">
        <w:t>pour</w:t>
      </w:r>
      <w:r w:rsidRPr="00D9581F">
        <w:t xml:space="preserve"> 12,1</w:t>
      </w:r>
      <w:r w:rsidR="000306B9" w:rsidRPr="00D9581F">
        <w:t> </w:t>
      </w:r>
      <w:r w:rsidRPr="00D9581F">
        <w:t>%.</w:t>
      </w:r>
    </w:p>
    <w:p w:rsidR="00C62A41" w:rsidRPr="00D9581F" w:rsidRDefault="00BC2C23" w:rsidP="00C62A41">
      <w:r w:rsidRPr="00D9581F">
        <w:t>Concernant</w:t>
      </w:r>
      <w:r w:rsidR="00C62A41" w:rsidRPr="00D9581F">
        <w:t xml:space="preserve"> le niveau </w:t>
      </w:r>
      <w:r w:rsidR="00F17DB7" w:rsidRPr="00D9581F">
        <w:t>d</w:t>
      </w:r>
      <w:r w:rsidR="00D114B1" w:rsidRPr="00D9581F">
        <w:t>’</w:t>
      </w:r>
      <w:r w:rsidR="00F17DB7" w:rsidRPr="00D9581F">
        <w:t>études</w:t>
      </w:r>
      <w:r w:rsidR="00C62A41" w:rsidRPr="00D9581F">
        <w:t xml:space="preserve">, la majorité des sujets avaient </w:t>
      </w:r>
      <w:r w:rsidR="00F17DB7" w:rsidRPr="00D9581F">
        <w:t>un niveau d</w:t>
      </w:r>
      <w:r w:rsidR="00D114B1" w:rsidRPr="00D9581F">
        <w:t>’</w:t>
      </w:r>
      <w:r w:rsidR="00F17DB7" w:rsidRPr="00D9581F">
        <w:t>études</w:t>
      </w:r>
      <w:r w:rsidR="00C62A41" w:rsidRPr="00D9581F">
        <w:t xml:space="preserve"> secondaire</w:t>
      </w:r>
      <w:r w:rsidR="00F17DB7" w:rsidRPr="00D9581F">
        <w:t>s</w:t>
      </w:r>
      <w:r w:rsidR="00C62A41" w:rsidRPr="00D9581F">
        <w:t xml:space="preserve"> (54</w:t>
      </w:r>
      <w:r w:rsidR="00F17DB7" w:rsidRPr="00D9581F">
        <w:t> </w:t>
      </w:r>
      <w:r w:rsidR="00C62A41" w:rsidRPr="00D9581F">
        <w:t>%), 14,5</w:t>
      </w:r>
      <w:r w:rsidR="009D458A" w:rsidRPr="00D9581F">
        <w:t> </w:t>
      </w:r>
      <w:r w:rsidR="00C62A41" w:rsidRPr="00D9581F">
        <w:t>% d</w:t>
      </w:r>
      <w:r w:rsidR="00D114B1" w:rsidRPr="00D9581F">
        <w:t>’</w:t>
      </w:r>
      <w:r w:rsidR="009D458A" w:rsidRPr="00D9581F">
        <w:t>entre eux</w:t>
      </w:r>
      <w:r w:rsidR="00C62A41" w:rsidRPr="00D9581F">
        <w:t xml:space="preserve"> étaient diplômés de l</w:t>
      </w:r>
      <w:r w:rsidR="00D114B1" w:rsidRPr="00D9581F">
        <w:t>’</w:t>
      </w:r>
      <w:r w:rsidR="00C62A41" w:rsidRPr="00D9581F">
        <w:t>université, 11,3</w:t>
      </w:r>
      <w:r w:rsidR="009D458A" w:rsidRPr="00D9581F">
        <w:t> </w:t>
      </w:r>
      <w:r w:rsidR="00C62A41" w:rsidRPr="00D9581F">
        <w:t>% avaient terminé des études de maîtrise, 9,7</w:t>
      </w:r>
      <w:r w:rsidRPr="00D9581F">
        <w:t> </w:t>
      </w:r>
      <w:r w:rsidR="00C62A41" w:rsidRPr="00D9581F">
        <w:t>% avaient un</w:t>
      </w:r>
      <w:r w:rsidR="00DD20ED" w:rsidRPr="00D9581F">
        <w:t xml:space="preserve"> niveau d</w:t>
      </w:r>
      <w:r w:rsidR="00D114B1" w:rsidRPr="00D9581F">
        <w:t>’</w:t>
      </w:r>
      <w:r w:rsidR="00DD20ED" w:rsidRPr="00D9581F">
        <w:t xml:space="preserve">enseignement </w:t>
      </w:r>
      <w:r w:rsidR="00C62A41" w:rsidRPr="00D9581F">
        <w:t>supérieur/élevé, 8,9</w:t>
      </w:r>
      <w:r w:rsidR="00DD20ED" w:rsidRPr="00D9581F">
        <w:t> </w:t>
      </w:r>
      <w:r w:rsidR="00C62A41" w:rsidRPr="00D9581F">
        <w:t xml:space="preserve">% avaient </w:t>
      </w:r>
      <w:r w:rsidR="00DD20ED" w:rsidRPr="00D9581F">
        <w:t>reçu un niveau d</w:t>
      </w:r>
      <w:r w:rsidR="00D114B1" w:rsidRPr="00D9581F">
        <w:t>’</w:t>
      </w:r>
      <w:r w:rsidR="00DD20ED" w:rsidRPr="00D9581F">
        <w:t xml:space="preserve">enseignement </w:t>
      </w:r>
      <w:r w:rsidR="00C62A41" w:rsidRPr="00D9581F">
        <w:t>primaire</w:t>
      </w:r>
      <w:r w:rsidR="00FC332B" w:rsidRPr="00D9581F">
        <w:t>,</w:t>
      </w:r>
      <w:r w:rsidR="00C62A41" w:rsidRPr="00D9581F">
        <w:t xml:space="preserve"> et 1,6</w:t>
      </w:r>
      <w:r w:rsidR="00DD20ED" w:rsidRPr="00D9581F">
        <w:t> </w:t>
      </w:r>
      <w:r w:rsidR="00C62A41" w:rsidRPr="00D9581F">
        <w:t>% d</w:t>
      </w:r>
      <w:r w:rsidR="00D114B1" w:rsidRPr="00D9581F">
        <w:t>’</w:t>
      </w:r>
      <w:r w:rsidR="00C76057" w:rsidRPr="00D9581F">
        <w:t>entre eux détenai</w:t>
      </w:r>
      <w:r w:rsidR="007D3D81" w:rsidRPr="00D9581F">
        <w:t>en</w:t>
      </w:r>
      <w:r w:rsidR="00C76057" w:rsidRPr="00D9581F">
        <w:t xml:space="preserve">t des diplômes </w:t>
      </w:r>
      <w:r w:rsidR="00C62A41" w:rsidRPr="00D9581F">
        <w:t>de médecin.</w:t>
      </w:r>
    </w:p>
    <w:p w:rsidR="00C62A41" w:rsidRPr="00D9581F" w:rsidRDefault="00C62A41" w:rsidP="00C62A41">
      <w:r w:rsidRPr="00D9581F">
        <w:t>54,8</w:t>
      </w:r>
      <w:r w:rsidR="002C158D" w:rsidRPr="00D9581F">
        <w:t> </w:t>
      </w:r>
      <w:r w:rsidRPr="00D9581F">
        <w:t>% de</w:t>
      </w:r>
      <w:r w:rsidR="002C158D" w:rsidRPr="00D9581F">
        <w:t>s sujets ont déclaré s</w:t>
      </w:r>
      <w:r w:rsidRPr="00D9581F">
        <w:t>e dépla</w:t>
      </w:r>
      <w:r w:rsidR="002C158D" w:rsidRPr="00D9581F">
        <w:t>cer</w:t>
      </w:r>
      <w:r w:rsidRPr="00D9581F">
        <w:t xml:space="preserve"> de </w:t>
      </w:r>
      <w:r w:rsidR="002C158D" w:rsidRPr="00D9581F">
        <w:t>façon autonome</w:t>
      </w:r>
      <w:r w:rsidRPr="00D9581F">
        <w:t>, 8,9</w:t>
      </w:r>
      <w:r w:rsidR="002C158D" w:rsidRPr="00D9581F">
        <w:t> </w:t>
      </w:r>
      <w:r w:rsidRPr="00D9581F">
        <w:t xml:space="preserve">% de </w:t>
      </w:r>
      <w:r w:rsidR="00495736" w:rsidRPr="00D9581F">
        <w:t>façon non autonome, tandis que</w:t>
      </w:r>
      <w:r w:rsidRPr="00D9581F">
        <w:t xml:space="preserve"> 36,3</w:t>
      </w:r>
      <w:r w:rsidR="00495736" w:rsidRPr="00D9581F">
        <w:t> </w:t>
      </w:r>
      <w:r w:rsidRPr="00D9581F">
        <w:t xml:space="preserve">% </w:t>
      </w:r>
      <w:r w:rsidR="00BB082B" w:rsidRPr="00D9581F">
        <w:t xml:space="preserve">d’entre eux </w:t>
      </w:r>
      <w:r w:rsidR="00495736" w:rsidRPr="00D9581F">
        <w:t>ont recours à</w:t>
      </w:r>
      <w:r w:rsidRPr="00D9581F">
        <w:t xml:space="preserve"> une assistance personnelle.</w:t>
      </w:r>
    </w:p>
    <w:p w:rsidR="00C62A41" w:rsidRPr="00D9581F" w:rsidRDefault="00C62A41" w:rsidP="00C62A41">
      <w:r w:rsidRPr="00D9581F">
        <w:t xml:space="preserve">Sur le nombre total de </w:t>
      </w:r>
      <w:r w:rsidR="00A45FBA" w:rsidRPr="00D9581F">
        <w:t>personnes interrogées</w:t>
      </w:r>
      <w:r w:rsidRPr="00D9581F">
        <w:t xml:space="preserve"> (124), 77 (</w:t>
      </w:r>
      <w:r w:rsidR="009B7F6C" w:rsidRPr="00D9581F">
        <w:t xml:space="preserve">soient </w:t>
      </w:r>
      <w:r w:rsidRPr="00D9581F">
        <w:t>62,1</w:t>
      </w:r>
      <w:r w:rsidR="00A45FBA" w:rsidRPr="00D9581F">
        <w:t> </w:t>
      </w:r>
      <w:r w:rsidRPr="00D9581F">
        <w:t>%) étaient sans emploi et 47 (37,9</w:t>
      </w:r>
      <w:r w:rsidR="009B7F6C" w:rsidRPr="00D9581F">
        <w:t> </w:t>
      </w:r>
      <w:r w:rsidRPr="00D9581F">
        <w:t>%) avaient un emploi.</w:t>
      </w:r>
    </w:p>
    <w:p w:rsidR="00C62A41" w:rsidRPr="00D9581F" w:rsidRDefault="00C62A41" w:rsidP="00C62A41">
      <w:r w:rsidRPr="00D9581F">
        <w:t>Période et lieu de l</w:t>
      </w:r>
      <w:r w:rsidR="00D114B1" w:rsidRPr="00D9581F">
        <w:t>’</w:t>
      </w:r>
      <w:r w:rsidR="003D0E70" w:rsidRPr="00D9581F">
        <w:t>étude</w:t>
      </w:r>
      <w:r w:rsidRPr="00D9581F">
        <w:t xml:space="preserve"> :</w:t>
      </w:r>
    </w:p>
    <w:p w:rsidR="00147F23" w:rsidRPr="00D9581F" w:rsidRDefault="00C62A41" w:rsidP="00C62A41">
      <w:r w:rsidRPr="00D9581F">
        <w:t>L</w:t>
      </w:r>
      <w:r w:rsidR="00D114B1" w:rsidRPr="00D9581F">
        <w:t>’</w:t>
      </w:r>
      <w:r w:rsidR="003D0E70" w:rsidRPr="00D9581F">
        <w:t>étude</w:t>
      </w:r>
      <w:r w:rsidRPr="00D9581F">
        <w:t xml:space="preserve"> a été menée à Belgrade de juin à septembre 2021. Les </w:t>
      </w:r>
      <w:r w:rsidR="00BF6980" w:rsidRPr="00D9581F">
        <w:t>personnes interrogées</w:t>
      </w:r>
      <w:r w:rsidRPr="00D9581F">
        <w:t xml:space="preserve"> ont eu la possibilité de remplir le questionnaire en ligne, </w:t>
      </w:r>
      <w:r w:rsidR="00BF6980" w:rsidRPr="00D9581F">
        <w:t>à l’aide du</w:t>
      </w:r>
      <w:r w:rsidRPr="00D9581F">
        <w:t xml:space="preserve"> lien qu</w:t>
      </w:r>
      <w:r w:rsidR="00D114B1" w:rsidRPr="00D9581F">
        <w:t>’</w:t>
      </w:r>
      <w:r w:rsidR="00BF6980" w:rsidRPr="00D9581F">
        <w:t>elles</w:t>
      </w:r>
      <w:r w:rsidRPr="00D9581F">
        <w:t xml:space="preserve"> avaient reçu</w:t>
      </w:r>
      <w:r w:rsidR="00147F23" w:rsidRPr="00D9581F">
        <w:t>.</w:t>
      </w:r>
    </w:p>
    <w:p w:rsidR="00147F23" w:rsidRPr="00D9581F" w:rsidRDefault="006E6F2A" w:rsidP="00147F23">
      <w:pPr>
        <w:pStyle w:val="Titre3"/>
        <w:rPr>
          <w:lang w:val="fr-FR"/>
        </w:rPr>
      </w:pPr>
      <w:r w:rsidRPr="00D9581F">
        <w:rPr>
          <w:rStyle w:val="Titre3Car"/>
          <w:b/>
          <w:bCs/>
          <w:lang w:val="fr-FR"/>
        </w:rPr>
        <w:t>Résultats et</w:t>
      </w:r>
      <w:r w:rsidR="00347DC3" w:rsidRPr="00D9581F">
        <w:rPr>
          <w:rStyle w:val="Titre3Car"/>
          <w:b/>
          <w:bCs/>
          <w:lang w:val="fr-FR"/>
        </w:rPr>
        <w:t xml:space="preserve"> interprétation</w:t>
      </w:r>
      <w:r w:rsidRPr="00D9581F">
        <w:rPr>
          <w:rStyle w:val="Titre3Car"/>
          <w:b/>
          <w:bCs/>
          <w:lang w:val="fr-FR"/>
        </w:rPr>
        <w:t> </w:t>
      </w:r>
      <w:r w:rsidR="00147F23" w:rsidRPr="00D9581F">
        <w:rPr>
          <w:lang w:val="fr-FR"/>
        </w:rPr>
        <w:t>:</w:t>
      </w:r>
    </w:p>
    <w:p w:rsidR="00147F23" w:rsidRPr="00D9581F" w:rsidRDefault="003F31B5" w:rsidP="00147F23">
      <w:r w:rsidRPr="00D9581F">
        <w:lastRenderedPageBreak/>
        <w:t xml:space="preserve">Dans cette </w:t>
      </w:r>
      <w:r w:rsidR="00C3556A" w:rsidRPr="00D9581F">
        <w:t>interprétation</w:t>
      </w:r>
      <w:r w:rsidRPr="00D9581F">
        <w:t xml:space="preserve">, nous </w:t>
      </w:r>
      <w:r w:rsidR="005A6331" w:rsidRPr="00D9581F">
        <w:t>présenterons</w:t>
      </w:r>
      <w:r w:rsidRPr="00D9581F">
        <w:t xml:space="preserve"> d</w:t>
      </w:r>
      <w:r w:rsidR="00D114B1" w:rsidRPr="00D9581F">
        <w:t>’</w:t>
      </w:r>
      <w:r w:rsidRPr="00D9581F">
        <w:t>abord les résultats en fonction des tâches et des hypothèses, puis nous aborderons certaines questions clés pour ce sujet</w:t>
      </w:r>
      <w:r w:rsidR="00147F23" w:rsidRPr="00D9581F">
        <w:t>.</w:t>
      </w:r>
    </w:p>
    <w:p w:rsidR="00B94034" w:rsidRPr="00D9581F" w:rsidRDefault="00B94034" w:rsidP="00B94034">
      <w:r w:rsidRPr="00D9581F">
        <w:t>L</w:t>
      </w:r>
      <w:r w:rsidR="00D114B1" w:rsidRPr="00D9581F">
        <w:t>’</w:t>
      </w:r>
      <w:r w:rsidRPr="00D9581F">
        <w:t xml:space="preserve">étude révèle que 55,6 % des personnes aveugles ou déficientes visuelles </w:t>
      </w:r>
      <w:r w:rsidR="000110D0" w:rsidRPr="00D9581F">
        <w:t xml:space="preserve">interrogées </w:t>
      </w:r>
      <w:r w:rsidRPr="00D9581F">
        <w:t>ont subi une certaine forme de discrimination dans leur recherche d</w:t>
      </w:r>
      <w:r w:rsidR="00D114B1" w:rsidRPr="00D9581F">
        <w:t>’</w:t>
      </w:r>
      <w:r w:rsidRPr="00D9581F">
        <w:t xml:space="preserve">emploi, </w:t>
      </w:r>
      <w:r w:rsidR="000110D0" w:rsidRPr="00D9581F">
        <w:t>tandis que</w:t>
      </w:r>
      <w:r w:rsidRPr="00D9581F">
        <w:t xml:space="preserve"> 44,4 % d</w:t>
      </w:r>
      <w:r w:rsidR="00D114B1" w:rsidRPr="00D9581F">
        <w:t>’</w:t>
      </w:r>
      <w:r w:rsidRPr="00D9581F">
        <w:t>entre elles</w:t>
      </w:r>
      <w:r w:rsidR="000110D0" w:rsidRPr="00D9581F">
        <w:t xml:space="preserve"> déclarent n’en avoir </w:t>
      </w:r>
      <w:r w:rsidRPr="00D9581F">
        <w:t>subi aucune.</w:t>
      </w:r>
    </w:p>
    <w:p w:rsidR="00147F23" w:rsidRPr="00D9581F" w:rsidRDefault="00B94034" w:rsidP="00B94034">
      <w:r w:rsidRPr="00D9581F">
        <w:t xml:space="preserve">Ces pourcentages confirment la première hypothèse, </w:t>
      </w:r>
      <w:r w:rsidR="00F01733" w:rsidRPr="00D9581F">
        <w:t>à savoir</w:t>
      </w:r>
      <w:r w:rsidRPr="00D9581F">
        <w:t xml:space="preserve"> </w:t>
      </w:r>
      <w:r w:rsidR="00F01733" w:rsidRPr="00D9581F">
        <w:t>qu</w:t>
      </w:r>
      <w:r w:rsidR="000A5776" w:rsidRPr="00D9581F">
        <w:t xml:space="preserve">’il y a davantage de </w:t>
      </w:r>
      <w:r w:rsidRPr="00D9581F">
        <w:t xml:space="preserve">personnes aveugles ou </w:t>
      </w:r>
      <w:r w:rsidR="00F01733" w:rsidRPr="00D9581F">
        <w:t xml:space="preserve">déficientes visuelles </w:t>
      </w:r>
      <w:r w:rsidR="000A5776" w:rsidRPr="00D9581F">
        <w:t>ayant</w:t>
      </w:r>
      <w:r w:rsidRPr="00D9581F">
        <w:t xml:space="preserve"> subi une forme de discrimination</w:t>
      </w:r>
      <w:r w:rsidR="000A5776" w:rsidRPr="00D9581F">
        <w:t xml:space="preserve"> dans leur recherche d’emploi</w:t>
      </w:r>
      <w:r w:rsidRPr="00D9581F">
        <w:t xml:space="preserve"> que de personnes qui n</w:t>
      </w:r>
      <w:r w:rsidR="00D114B1" w:rsidRPr="00D9581F">
        <w:t>’</w:t>
      </w:r>
      <w:r w:rsidRPr="00D9581F">
        <w:t>en ont pas subi</w:t>
      </w:r>
      <w:r w:rsidR="000A5776" w:rsidRPr="00D9581F">
        <w:t>e</w:t>
      </w:r>
      <w:r w:rsidR="00147F23" w:rsidRPr="00D9581F">
        <w:t>.</w:t>
      </w:r>
    </w:p>
    <w:p w:rsidR="00147F23" w:rsidRPr="00D9581F" w:rsidRDefault="006E3D4B" w:rsidP="00147F23">
      <w:r w:rsidRPr="00D9581F">
        <w:t xml:space="preserve">Incidence des </w:t>
      </w:r>
      <w:r w:rsidR="000305EF" w:rsidRPr="00D9581F">
        <w:t>autres problèmes de santé</w:t>
      </w:r>
      <w:r w:rsidRPr="00D9581F">
        <w:t xml:space="preserve"> lors de la recherche d</w:t>
      </w:r>
      <w:r w:rsidR="00D114B1" w:rsidRPr="00D9581F">
        <w:t>’</w:t>
      </w:r>
      <w:r w:rsidRPr="00D9581F">
        <w:t xml:space="preserve">emploi : chez 49,2 % des </w:t>
      </w:r>
      <w:r w:rsidR="000305EF" w:rsidRPr="00D9581F">
        <w:t>personnes interrogées</w:t>
      </w:r>
      <w:r w:rsidRPr="00D9581F">
        <w:t>, ces problèmes n</w:t>
      </w:r>
      <w:r w:rsidR="00D114B1" w:rsidRPr="00D9581F">
        <w:t>’</w:t>
      </w:r>
      <w:r w:rsidRPr="00D9581F">
        <w:t xml:space="preserve">ont </w:t>
      </w:r>
      <w:r w:rsidR="000305EF" w:rsidRPr="00D9581F">
        <w:t>eu aucune incidence. C</w:t>
      </w:r>
      <w:r w:rsidRPr="00D9581F">
        <w:t>hez 11,3 % d</w:t>
      </w:r>
      <w:r w:rsidR="00D114B1" w:rsidRPr="00D9581F">
        <w:t>’</w:t>
      </w:r>
      <w:r w:rsidRPr="00D9581F">
        <w:t xml:space="preserve">entre </w:t>
      </w:r>
      <w:r w:rsidR="000305EF" w:rsidRPr="00D9581F">
        <w:t>elles</w:t>
      </w:r>
      <w:r w:rsidRPr="00D9581F">
        <w:t>, ces problèmes ont une influence, tandis qu</w:t>
      </w:r>
      <w:r w:rsidR="00A574B5" w:rsidRPr="00D9581F">
        <w:t xml:space="preserve">’ils ont eu une incidence partielle </w:t>
      </w:r>
      <w:r w:rsidRPr="00D9581F">
        <w:t xml:space="preserve">chez 2,4 % des </w:t>
      </w:r>
      <w:r w:rsidR="00A574B5" w:rsidRPr="00D9581F">
        <w:t>personnes</w:t>
      </w:r>
      <w:r w:rsidR="00147F23" w:rsidRPr="00D9581F">
        <w:t>.</w:t>
      </w:r>
    </w:p>
    <w:p w:rsidR="00147F23" w:rsidRPr="00D9581F" w:rsidRDefault="000D0550" w:rsidP="00147F23">
      <w:r w:rsidRPr="00D9581F">
        <w:t>Cela confirme la deuxième hypothèse</w:t>
      </w:r>
      <w:r w:rsidR="00BB13B3" w:rsidRPr="00D9581F">
        <w:t xml:space="preserve">, à savoir que </w:t>
      </w:r>
      <w:r w:rsidRPr="00D9581F">
        <w:t xml:space="preserve">les problèmes de santé supplémentaires chez les personnes déficientes visuelles </w:t>
      </w:r>
      <w:r w:rsidR="00BB13B3" w:rsidRPr="00D9581F">
        <w:t xml:space="preserve">n’ont pas </w:t>
      </w:r>
      <w:r w:rsidRPr="00D9581F">
        <w:t xml:space="preserve">nécessairement </w:t>
      </w:r>
      <w:r w:rsidR="00BB13B3" w:rsidRPr="00D9581F">
        <w:t xml:space="preserve">d’incidence sur </w:t>
      </w:r>
      <w:r w:rsidRPr="00D9581F">
        <w:t>la recherche d</w:t>
      </w:r>
      <w:r w:rsidR="00D114B1" w:rsidRPr="00D9581F">
        <w:t>’</w:t>
      </w:r>
      <w:r w:rsidRPr="00D9581F">
        <w:t>emploi</w:t>
      </w:r>
      <w:r w:rsidR="00147F23" w:rsidRPr="00D9581F">
        <w:t>.</w:t>
      </w:r>
    </w:p>
    <w:p w:rsidR="00147F23" w:rsidRPr="00D9581F" w:rsidRDefault="00BB13B3" w:rsidP="00147F23">
      <w:r w:rsidRPr="00D9581F">
        <w:t xml:space="preserve">Concernant </w:t>
      </w:r>
      <w:r w:rsidR="00863863" w:rsidRPr="00D9581F">
        <w:t>l</w:t>
      </w:r>
      <w:r w:rsidR="00D114B1" w:rsidRPr="00D9581F">
        <w:t>’</w:t>
      </w:r>
      <w:r w:rsidR="00863863" w:rsidRPr="00D9581F">
        <w:t xml:space="preserve">adaptation des sites Internet des entreprises aux besoins des personnes déficientes visuelles </w:t>
      </w:r>
      <w:r w:rsidRPr="00D9581F">
        <w:t xml:space="preserve">dans la </w:t>
      </w:r>
      <w:r w:rsidR="00863863" w:rsidRPr="00D9581F">
        <w:t>recherche d</w:t>
      </w:r>
      <w:r w:rsidR="00D114B1" w:rsidRPr="00D9581F">
        <w:t>’</w:t>
      </w:r>
      <w:r w:rsidR="00863863" w:rsidRPr="00D9581F">
        <w:t>emploi, 4,8 % des sites web sont adaptés, 37,1 % sont partiellement adaptés, tandis que 22,6 % ne sont pas du tout adaptés</w:t>
      </w:r>
      <w:r w:rsidR="00147F23" w:rsidRPr="00D9581F">
        <w:t>.</w:t>
      </w:r>
    </w:p>
    <w:p w:rsidR="00AF2AD5" w:rsidRPr="00D9581F" w:rsidRDefault="00AF2AD5" w:rsidP="00AF2AD5">
      <w:r w:rsidRPr="00D9581F">
        <w:rPr>
          <w:rFonts w:cs="Arial"/>
          <w:color w:val="202124"/>
          <w:shd w:val="clear" w:color="auto" w:fill="FFFFFF"/>
        </w:rPr>
        <w:t>À</w:t>
      </w:r>
      <w:r w:rsidRPr="00D9581F">
        <w:t xml:space="preserve"> partir de ces pourcentages, nous pouvons conclure que la troisième hypothèse selon laquelle la majorité des sites Internet des entreprises </w:t>
      </w:r>
      <w:r w:rsidR="00BB13B3" w:rsidRPr="00D9581F">
        <w:t>seraient</w:t>
      </w:r>
      <w:r w:rsidRPr="00D9581F">
        <w:t xml:space="preserve"> adaptés aux demandeurs d</w:t>
      </w:r>
      <w:r w:rsidR="00D114B1" w:rsidRPr="00D9581F">
        <w:t>’</w:t>
      </w:r>
      <w:r w:rsidRPr="00D9581F">
        <w:t>emploi déficients visuels n</w:t>
      </w:r>
      <w:r w:rsidR="00D114B1" w:rsidRPr="00D9581F">
        <w:t>’</w:t>
      </w:r>
      <w:r w:rsidRPr="00D9581F">
        <w:t>est que partiellement confirmée.</w:t>
      </w:r>
    </w:p>
    <w:p w:rsidR="00AF2AD5" w:rsidRPr="00D9581F" w:rsidRDefault="00BB13B3" w:rsidP="00AF2AD5">
      <w:r w:rsidRPr="00D9581F">
        <w:t>Lorsqu’elles ont atteint un certain</w:t>
      </w:r>
      <w:r w:rsidR="00AF2AD5" w:rsidRPr="00D9581F">
        <w:t xml:space="preserve"> niveau d</w:t>
      </w:r>
      <w:r w:rsidR="00D114B1" w:rsidRPr="00D9581F">
        <w:t>’</w:t>
      </w:r>
      <w:r w:rsidR="00AF2AD5" w:rsidRPr="00D9581F">
        <w:t xml:space="preserve">études, les personnes </w:t>
      </w:r>
      <w:r w:rsidRPr="00D9581F">
        <w:t>tentent</w:t>
      </w:r>
      <w:r w:rsidR="00AF2AD5" w:rsidRPr="00D9581F">
        <w:t xml:space="preserve"> général</w:t>
      </w:r>
      <w:r w:rsidR="00564901" w:rsidRPr="00D9581F">
        <w:t>ement de trouver un emploi en adéquation avec leur secteur</w:t>
      </w:r>
      <w:r w:rsidR="00AF2AD5" w:rsidRPr="00D9581F">
        <w:t xml:space="preserve">. </w:t>
      </w:r>
      <w:r w:rsidRPr="00D9581F">
        <w:t xml:space="preserve">Qu’en est-il </w:t>
      </w:r>
      <w:r w:rsidR="00AF2AD5" w:rsidRPr="00D9581F">
        <w:t>précisément ici ?</w:t>
      </w:r>
    </w:p>
    <w:p w:rsidR="00147F23" w:rsidRPr="00D9581F" w:rsidRDefault="00AF2AD5" w:rsidP="00AF2AD5">
      <w:r w:rsidRPr="00D9581F">
        <w:t>22,6</w:t>
      </w:r>
      <w:r w:rsidR="000733F5" w:rsidRPr="00D9581F">
        <w:t> </w:t>
      </w:r>
      <w:r w:rsidRPr="00D9581F">
        <w:t xml:space="preserve">% des </w:t>
      </w:r>
      <w:r w:rsidR="001B1F6F" w:rsidRPr="00D9581F">
        <w:t>personnes interrogées</w:t>
      </w:r>
      <w:r w:rsidRPr="00D9581F">
        <w:t xml:space="preserve"> ont cherché un emploi dans leur </w:t>
      </w:r>
      <w:r w:rsidR="001B1F6F" w:rsidRPr="00D9581F">
        <w:t>secteur d’activité</w:t>
      </w:r>
      <w:r w:rsidRPr="00D9581F">
        <w:t>, 5,6</w:t>
      </w:r>
      <w:r w:rsidR="000733F5" w:rsidRPr="00D9581F">
        <w:t> </w:t>
      </w:r>
      <w:r w:rsidRPr="00D9581F">
        <w:t xml:space="preserve">% </w:t>
      </w:r>
      <w:r w:rsidR="001B1F6F" w:rsidRPr="00D9581F">
        <w:t>d’entre elles</w:t>
      </w:r>
      <w:r w:rsidRPr="00D9581F">
        <w:t xml:space="preserve"> n</w:t>
      </w:r>
      <w:r w:rsidR="00D114B1" w:rsidRPr="00D9581F">
        <w:t>’</w:t>
      </w:r>
      <w:r w:rsidRPr="00D9581F">
        <w:t>ont pas cherché d</w:t>
      </w:r>
      <w:r w:rsidR="00D114B1" w:rsidRPr="00D9581F">
        <w:t>’</w:t>
      </w:r>
      <w:r w:rsidRPr="00D9581F">
        <w:t xml:space="preserve">emploi dans leur </w:t>
      </w:r>
      <w:r w:rsidR="001B1F6F" w:rsidRPr="00D9581F">
        <w:t>secteur d’activité</w:t>
      </w:r>
      <w:r w:rsidRPr="00D9581F">
        <w:t>, 1,6</w:t>
      </w:r>
      <w:r w:rsidR="000733F5" w:rsidRPr="00D9581F">
        <w:t> </w:t>
      </w:r>
      <w:r w:rsidRPr="00D9581F">
        <w:t>% sont susceptibles de le faire, tandis que le plus grand pourcentage</w:t>
      </w:r>
      <w:r w:rsidR="007A76B4" w:rsidRPr="00D9581F">
        <w:t xml:space="preserve"> de personnes, soit</w:t>
      </w:r>
      <w:r w:rsidRPr="00D9581F">
        <w:t xml:space="preserve"> 35,5</w:t>
      </w:r>
      <w:r w:rsidR="000733F5" w:rsidRPr="00D9581F">
        <w:t> </w:t>
      </w:r>
      <w:r w:rsidRPr="00D9581F">
        <w:t>%</w:t>
      </w:r>
      <w:r w:rsidR="007A76B4" w:rsidRPr="00D9581F">
        <w:t xml:space="preserve">, </w:t>
      </w:r>
      <w:r w:rsidRPr="00D9581F">
        <w:t xml:space="preserve">accepterait </w:t>
      </w:r>
      <w:r w:rsidR="007A76B4" w:rsidRPr="00D9581F">
        <w:t xml:space="preserve">tout </w:t>
      </w:r>
      <w:r w:rsidRPr="00D9581F">
        <w:t xml:space="preserve">emploi qui leur serait </w:t>
      </w:r>
      <w:r w:rsidR="000733F5" w:rsidRPr="00D9581F">
        <w:t>proposé</w:t>
      </w:r>
      <w:r w:rsidRPr="00D9581F">
        <w:t>, à condition qu</w:t>
      </w:r>
      <w:r w:rsidR="00D114B1" w:rsidRPr="00D9581F">
        <w:t>’</w:t>
      </w:r>
      <w:r w:rsidRPr="00D9581F">
        <w:t xml:space="preserve">il soit </w:t>
      </w:r>
      <w:r w:rsidR="00AC64C1" w:rsidRPr="00D9581F">
        <w:t>en adéquation avec</w:t>
      </w:r>
      <w:r w:rsidRPr="00D9581F">
        <w:t xml:space="preserve"> leurs possibilités</w:t>
      </w:r>
      <w:r w:rsidR="00147F23" w:rsidRPr="00D9581F">
        <w:t>.</w:t>
      </w:r>
      <w:r w:rsidR="007A76B4" w:rsidRPr="00D9581F">
        <w:t xml:space="preserve"> </w:t>
      </w:r>
    </w:p>
    <w:p w:rsidR="000E0C1A" w:rsidRPr="00D9581F" w:rsidRDefault="000E0C1A" w:rsidP="000E0C1A">
      <w:r w:rsidRPr="00D9581F">
        <w:rPr>
          <w:rFonts w:cs="Arial"/>
          <w:color w:val="202124"/>
          <w:shd w:val="clear" w:color="auto" w:fill="FFFFFF"/>
        </w:rPr>
        <w:t>À</w:t>
      </w:r>
      <w:r w:rsidRPr="00D9581F">
        <w:t xml:space="preserve"> partir des données mentionnées ci-dessus, nous pouvons conclure que la quatrième hypothèse selon laquelle les personnes déficientes visuelles sont plus </w:t>
      </w:r>
      <w:r w:rsidR="007A76B4" w:rsidRPr="00D9581F">
        <w:t>susceptibles de</w:t>
      </w:r>
      <w:r w:rsidRPr="00D9581F">
        <w:t xml:space="preserve"> chercher un emploi dans la profession qu</w:t>
      </w:r>
      <w:r w:rsidR="00D114B1" w:rsidRPr="00D9581F">
        <w:t>’</w:t>
      </w:r>
      <w:r w:rsidRPr="00D9581F">
        <w:t>elles ont choisie n</w:t>
      </w:r>
      <w:r w:rsidR="007A76B4" w:rsidRPr="00D9581F">
        <w:t>e se confirme pas</w:t>
      </w:r>
      <w:r w:rsidRPr="00D9581F">
        <w:t>.</w:t>
      </w:r>
    </w:p>
    <w:p w:rsidR="000E0C1A" w:rsidRPr="00D9581F" w:rsidRDefault="00060120" w:rsidP="000E0C1A">
      <w:r w:rsidRPr="00D9581F">
        <w:rPr>
          <w:rFonts w:cs="Arial"/>
          <w:color w:val="202124"/>
          <w:shd w:val="clear" w:color="auto" w:fill="FFFFFF"/>
        </w:rPr>
        <w:lastRenderedPageBreak/>
        <w:t>À</w:t>
      </w:r>
      <w:r w:rsidR="000E0C1A" w:rsidRPr="00D9581F">
        <w:t xml:space="preserve"> la question</w:t>
      </w:r>
      <w:r w:rsidR="007A76B4" w:rsidRPr="00D9581F">
        <w:t xml:space="preserve"> : </w:t>
      </w:r>
      <w:r w:rsidR="001910A4" w:rsidRPr="00D9581F">
        <w:t>« Q</w:t>
      </w:r>
      <w:r w:rsidR="000E0C1A" w:rsidRPr="00D9581F">
        <w:t>uelles difficultés avez</w:t>
      </w:r>
      <w:r w:rsidRPr="00D9581F">
        <w:t>-vous</w:t>
      </w:r>
      <w:r w:rsidR="000E0C1A" w:rsidRPr="00D9581F">
        <w:t xml:space="preserve"> rencontrées lors de votre recherche d</w:t>
      </w:r>
      <w:r w:rsidR="00D114B1" w:rsidRPr="00D9581F">
        <w:t>’</w:t>
      </w:r>
      <w:r w:rsidR="000E0C1A" w:rsidRPr="00D9581F">
        <w:t>emploi ?</w:t>
      </w:r>
      <w:r w:rsidR="004E6565" w:rsidRPr="00D9581F">
        <w:t> »,</w:t>
      </w:r>
      <w:r w:rsidR="000E0C1A" w:rsidRPr="00D9581F">
        <w:t xml:space="preserve"> </w:t>
      </w:r>
      <w:r w:rsidR="004E6565" w:rsidRPr="00D9581F">
        <w:t>l</w:t>
      </w:r>
      <w:r w:rsidR="000E0C1A" w:rsidRPr="00D9581F">
        <w:t xml:space="preserve">es </w:t>
      </w:r>
      <w:r w:rsidR="007A76B4" w:rsidRPr="00D9581F">
        <w:t>personnes</w:t>
      </w:r>
      <w:r w:rsidR="000E0C1A" w:rsidRPr="00D9581F">
        <w:t xml:space="preserve"> avaient la possibilité de cocher plus</w:t>
      </w:r>
      <w:r w:rsidRPr="00D9581F">
        <w:t>ieurs</w:t>
      </w:r>
      <w:r w:rsidR="000E0C1A" w:rsidRPr="00D9581F">
        <w:t xml:space="preserve"> case</w:t>
      </w:r>
      <w:r w:rsidRPr="00D9581F">
        <w:t>s</w:t>
      </w:r>
      <w:r w:rsidR="000E0C1A" w:rsidRPr="00D9581F">
        <w:t>.</w:t>
      </w:r>
    </w:p>
    <w:p w:rsidR="00147F23" w:rsidRPr="00D9581F" w:rsidRDefault="000E0C1A" w:rsidP="00147F23">
      <w:r w:rsidRPr="00D9581F">
        <w:t>58,9</w:t>
      </w:r>
      <w:r w:rsidR="004E6565" w:rsidRPr="00D9581F">
        <w:t> </w:t>
      </w:r>
      <w:r w:rsidRPr="00D9581F">
        <w:t>% d</w:t>
      </w:r>
      <w:r w:rsidR="00D114B1" w:rsidRPr="00D9581F">
        <w:t>’</w:t>
      </w:r>
      <w:r w:rsidR="004E6565" w:rsidRPr="00D9581F">
        <w:t xml:space="preserve">entre </w:t>
      </w:r>
      <w:r w:rsidR="007A76B4" w:rsidRPr="00D9581F">
        <w:t>elles</w:t>
      </w:r>
      <w:r w:rsidRPr="00D9581F">
        <w:t xml:space="preserve"> ont indiqué que la déficience visuelle était un problème, tandis que 52,4</w:t>
      </w:r>
      <w:r w:rsidR="00287151" w:rsidRPr="00D9581F">
        <w:t> </w:t>
      </w:r>
      <w:r w:rsidRPr="00D9581F">
        <w:t xml:space="preserve">% ont </w:t>
      </w:r>
      <w:r w:rsidR="008F10FE" w:rsidRPr="00D9581F">
        <w:t>coché</w:t>
      </w:r>
      <w:r w:rsidRPr="00D9581F">
        <w:t xml:space="preserve"> les préjugés des employeurs. Très peu de </w:t>
      </w:r>
      <w:r w:rsidR="008F10FE" w:rsidRPr="00D9581F">
        <w:t>personnes</w:t>
      </w:r>
      <w:r w:rsidRPr="00D9581F">
        <w:t xml:space="preserve"> (3,2</w:t>
      </w:r>
      <w:r w:rsidR="00287151" w:rsidRPr="00D9581F">
        <w:t> </w:t>
      </w:r>
      <w:r w:rsidRPr="00D9581F">
        <w:t xml:space="preserve">%) ont coché la case </w:t>
      </w:r>
      <w:r w:rsidR="00287151" w:rsidRPr="00D9581F">
        <w:t>« </w:t>
      </w:r>
      <w:r w:rsidRPr="00D9581F">
        <w:t>soutien familial insuffisant</w:t>
      </w:r>
      <w:r w:rsidR="00287151" w:rsidRPr="00D9581F">
        <w:t> »</w:t>
      </w:r>
      <w:r w:rsidR="00147F23" w:rsidRPr="00D9581F">
        <w:t>.</w:t>
      </w:r>
    </w:p>
    <w:p w:rsidR="00147F23" w:rsidRPr="00D9581F" w:rsidRDefault="002156ED" w:rsidP="00147F23">
      <w:r w:rsidRPr="00D9581F">
        <w:rPr>
          <w:rFonts w:cs="Arial"/>
          <w:color w:val="202124"/>
          <w:shd w:val="clear" w:color="auto" w:fill="FFFFFF"/>
        </w:rPr>
        <w:t>À</w:t>
      </w:r>
      <w:r w:rsidRPr="00D9581F">
        <w:t xml:space="preserve"> l</w:t>
      </w:r>
      <w:r w:rsidR="00761586" w:rsidRPr="00D9581F">
        <w:t>a question : « </w:t>
      </w:r>
      <w:r w:rsidR="00112FE9" w:rsidRPr="00D9581F">
        <w:t>Pour quelle</w:t>
      </w:r>
      <w:r w:rsidR="008F10FE" w:rsidRPr="00D9581F">
        <w:t>(</w:t>
      </w:r>
      <w:r w:rsidR="00112FE9" w:rsidRPr="00D9581F">
        <w:t>s</w:t>
      </w:r>
      <w:r w:rsidR="008F10FE" w:rsidRPr="00D9581F">
        <w:t>)</w:t>
      </w:r>
      <w:r w:rsidR="00112FE9" w:rsidRPr="00D9581F">
        <w:t xml:space="preserve"> </w:t>
      </w:r>
      <w:r w:rsidR="00761586" w:rsidRPr="00D9581F">
        <w:t>raison</w:t>
      </w:r>
      <w:r w:rsidR="008F10FE" w:rsidRPr="00D9581F">
        <w:t>(</w:t>
      </w:r>
      <w:r w:rsidR="00761586" w:rsidRPr="00D9581F">
        <w:t>s</w:t>
      </w:r>
      <w:r w:rsidR="008F10FE" w:rsidRPr="00D9581F">
        <w:t>)</w:t>
      </w:r>
      <w:r w:rsidR="00761586" w:rsidRPr="00D9581F">
        <w:t xml:space="preserve"> </w:t>
      </w:r>
      <w:r w:rsidR="00112FE9" w:rsidRPr="00D9581F">
        <w:t>re</w:t>
      </w:r>
      <w:r w:rsidR="00761586" w:rsidRPr="00D9581F">
        <w:t>cherchez</w:t>
      </w:r>
      <w:r w:rsidR="00112FE9" w:rsidRPr="00D9581F">
        <w:t>-vous</w:t>
      </w:r>
      <w:r w:rsidR="00761586" w:rsidRPr="00D9581F">
        <w:t xml:space="preserve"> un emploi ? », les sujets avaient également la possibilité de </w:t>
      </w:r>
      <w:r w:rsidR="00780B47" w:rsidRPr="00D9581F">
        <w:t>choisir</w:t>
      </w:r>
      <w:r w:rsidR="00833F61" w:rsidRPr="00D9581F">
        <w:t xml:space="preserve"> plusieurs réponses</w:t>
      </w:r>
      <w:r w:rsidR="00761586" w:rsidRPr="00D9581F">
        <w:t>. La sécurité financière a été cochée par 59,7</w:t>
      </w:r>
      <w:r w:rsidR="00BC09D7" w:rsidRPr="00D9581F">
        <w:t> </w:t>
      </w:r>
      <w:r w:rsidR="00761586" w:rsidRPr="00D9581F">
        <w:t xml:space="preserve">% </w:t>
      </w:r>
      <w:r w:rsidR="00BC09D7" w:rsidRPr="00D9581F">
        <w:t>d</w:t>
      </w:r>
      <w:r w:rsidR="00D114B1" w:rsidRPr="00D9581F">
        <w:t>’</w:t>
      </w:r>
      <w:r w:rsidR="00BC09D7" w:rsidRPr="00D9581F">
        <w:t>entre eux</w:t>
      </w:r>
      <w:r w:rsidR="005D1062" w:rsidRPr="00D9581F">
        <w:t> ;</w:t>
      </w:r>
      <w:r w:rsidR="00761586" w:rsidRPr="00D9581F">
        <w:t xml:space="preserve"> 50,8</w:t>
      </w:r>
      <w:r w:rsidR="00BC09D7" w:rsidRPr="00D9581F">
        <w:t> </w:t>
      </w:r>
      <w:r w:rsidR="00761586" w:rsidRPr="00D9581F">
        <w:t xml:space="preserve">% </w:t>
      </w:r>
      <w:r w:rsidR="00BC09D7" w:rsidRPr="00D9581F">
        <w:t xml:space="preserve">ont indiqué souhaiter </w:t>
      </w:r>
      <w:r w:rsidR="00761586" w:rsidRPr="00D9581F">
        <w:t>acquérir des années de service</w:t>
      </w:r>
      <w:r w:rsidR="005D1062" w:rsidRPr="00D9581F">
        <w:t> ;</w:t>
      </w:r>
      <w:r w:rsidR="00761586" w:rsidRPr="00D9581F">
        <w:t xml:space="preserve"> 50,8</w:t>
      </w:r>
      <w:r w:rsidR="00BC09D7" w:rsidRPr="00D9581F">
        <w:t> </w:t>
      </w:r>
      <w:r w:rsidR="00761586" w:rsidRPr="00D9581F">
        <w:t xml:space="preserve">% </w:t>
      </w:r>
      <w:r w:rsidR="00BC09D7" w:rsidRPr="00D9581F">
        <w:t xml:space="preserve">désirent </w:t>
      </w:r>
      <w:r w:rsidR="00761586" w:rsidRPr="00D9581F">
        <w:t>un emploi</w:t>
      </w:r>
      <w:r w:rsidR="00BC09D7" w:rsidRPr="00D9581F">
        <w:t xml:space="preserve"> pour ne pas dépendre d</w:t>
      </w:r>
      <w:r w:rsidR="00D114B1" w:rsidRPr="00D9581F">
        <w:t>’</w:t>
      </w:r>
      <w:r w:rsidR="00BC09D7" w:rsidRPr="00D9581F">
        <w:t>autrui</w:t>
      </w:r>
      <w:r w:rsidR="00761586" w:rsidRPr="00D9581F">
        <w:t xml:space="preserve">, </w:t>
      </w:r>
      <w:r w:rsidR="00BC09D7" w:rsidRPr="00D9581F">
        <w:t>tandis que</w:t>
      </w:r>
      <w:r w:rsidR="00761586" w:rsidRPr="00D9581F">
        <w:t xml:space="preserve"> 49,2</w:t>
      </w:r>
      <w:r w:rsidR="00BC09D7" w:rsidRPr="00D9581F">
        <w:t> </w:t>
      </w:r>
      <w:r w:rsidR="00761586" w:rsidRPr="00D9581F">
        <w:t>% veulent être des membres utiles et égaux de la société</w:t>
      </w:r>
      <w:r w:rsidR="00147F23" w:rsidRPr="00D9581F">
        <w:t>.</w:t>
      </w:r>
    </w:p>
    <w:p w:rsidR="00147F23" w:rsidRPr="00D9581F" w:rsidRDefault="00C60ACB" w:rsidP="00147F23">
      <w:r w:rsidRPr="00D9581F">
        <w:t>L</w:t>
      </w:r>
      <w:r w:rsidR="00D114B1" w:rsidRPr="00D9581F">
        <w:t>’</w:t>
      </w:r>
      <w:r w:rsidRPr="00D9581F">
        <w:t>une des suppositions concernant l</w:t>
      </w:r>
      <w:r w:rsidR="00D114B1" w:rsidRPr="00D9581F">
        <w:t>’</w:t>
      </w:r>
      <w:r w:rsidRPr="00D9581F">
        <w:t>emploi des personnes déficientes visuelles est que l</w:t>
      </w:r>
      <w:r w:rsidR="00D114B1" w:rsidRPr="00D9581F">
        <w:t>’</w:t>
      </w:r>
      <w:r w:rsidRPr="00D9581F">
        <w:t xml:space="preserve">employeur doit adapter le lieu de travail. Dans quelle mesure </w:t>
      </w:r>
      <w:r w:rsidR="00970581" w:rsidRPr="00D9581F">
        <w:t xml:space="preserve">est-ce </w:t>
      </w:r>
      <w:r w:rsidRPr="00D9581F">
        <w:t>v</w:t>
      </w:r>
      <w:r w:rsidR="00970581" w:rsidRPr="00D9581F">
        <w:t xml:space="preserve">éritablement </w:t>
      </w:r>
      <w:r w:rsidR="003F4BB0" w:rsidRPr="00D9581F">
        <w:t>nécessaire</w:t>
      </w:r>
      <w:r w:rsidR="00970581" w:rsidRPr="00D9581F">
        <w:t> </w:t>
      </w:r>
      <w:r w:rsidR="00147F23" w:rsidRPr="00D9581F">
        <w:t>?</w:t>
      </w:r>
    </w:p>
    <w:p w:rsidR="00147F23" w:rsidRPr="00D9581F" w:rsidRDefault="00E85340" w:rsidP="00147F23">
      <w:r w:rsidRPr="00D9581F">
        <w:rPr>
          <w:rFonts w:cs="Arial"/>
          <w:color w:val="202124"/>
          <w:shd w:val="clear" w:color="auto" w:fill="FFFFFF"/>
        </w:rPr>
        <w:t>À</w:t>
      </w:r>
      <w:r w:rsidRPr="00D9581F">
        <w:t xml:space="preserve"> la question : « Votre lieu de travail est-il adapté ? », 15,3 % des sujets ont répondu « oui », 10,5 % « non » et 11,3 % « partiellement ». Bien entendu, cette question ne s</w:t>
      </w:r>
      <w:r w:rsidR="00D114B1" w:rsidRPr="00D9581F">
        <w:t>’</w:t>
      </w:r>
      <w:r w:rsidRPr="00D9581F">
        <w:t>appliqu</w:t>
      </w:r>
      <w:r w:rsidR="003F4BB0" w:rsidRPr="00D9581F">
        <w:t>ait</w:t>
      </w:r>
      <w:r w:rsidRPr="00D9581F">
        <w:t xml:space="preserve"> qu</w:t>
      </w:r>
      <w:r w:rsidR="00D114B1" w:rsidRPr="00D9581F">
        <w:t>’</w:t>
      </w:r>
      <w:r w:rsidRPr="00D9581F">
        <w:t xml:space="preserve">aux </w:t>
      </w:r>
      <w:r w:rsidR="00B578E9" w:rsidRPr="00D9581F">
        <w:t>personnes</w:t>
      </w:r>
      <w:r w:rsidRPr="00D9581F">
        <w:t xml:space="preserve"> ayant un emploi.</w:t>
      </w:r>
    </w:p>
    <w:p w:rsidR="00147F23" w:rsidRPr="00D9581F" w:rsidRDefault="005D1062" w:rsidP="00147F23">
      <w:r w:rsidRPr="00D9581F">
        <w:t>Concernant</w:t>
      </w:r>
      <w:r w:rsidR="00FE37F0" w:rsidRPr="00D9581F">
        <w:t xml:space="preserve"> les modalités d</w:t>
      </w:r>
      <w:r w:rsidR="00D114B1" w:rsidRPr="00D9581F">
        <w:t>’</w:t>
      </w:r>
      <w:r w:rsidR="00FE37F0" w:rsidRPr="00D9581F">
        <w:t xml:space="preserve">adaptation du lieu de travail, les sujets avaient la possibilité de </w:t>
      </w:r>
      <w:r w:rsidR="001A3AF6" w:rsidRPr="00D9581F">
        <w:t>sélectionner plusieurs propositions</w:t>
      </w:r>
      <w:r w:rsidR="00FE37F0" w:rsidRPr="00D9581F">
        <w:t xml:space="preserve">, mais </w:t>
      </w:r>
      <w:r w:rsidR="001A3AF6" w:rsidRPr="00D9581F">
        <w:t>aussi</w:t>
      </w:r>
      <w:r w:rsidR="00FE37F0" w:rsidRPr="00D9581F">
        <w:t xml:space="preserve"> </w:t>
      </w:r>
      <w:r w:rsidR="001A3AF6" w:rsidRPr="00D9581F">
        <w:t>d</w:t>
      </w:r>
      <w:r w:rsidR="00D114B1" w:rsidRPr="00D9581F">
        <w:t>’</w:t>
      </w:r>
      <w:r w:rsidR="00FE37F0" w:rsidRPr="00D9581F">
        <w:t>ajouter une réponse qu</w:t>
      </w:r>
      <w:r w:rsidR="00D114B1" w:rsidRPr="00D9581F">
        <w:t>’</w:t>
      </w:r>
      <w:r w:rsidR="00FE37F0" w:rsidRPr="00D9581F">
        <w:t>ils jugeaient appropriée. La principale préoccupation de la plupart des sujets (12,9</w:t>
      </w:r>
      <w:r w:rsidR="00C41781" w:rsidRPr="00D9581F">
        <w:t> </w:t>
      </w:r>
      <w:r w:rsidR="00FE37F0" w:rsidRPr="00D9581F">
        <w:t xml:space="preserve">%) était </w:t>
      </w:r>
      <w:r w:rsidRPr="00D9581F">
        <w:t xml:space="preserve">de disposer d’un </w:t>
      </w:r>
      <w:r w:rsidR="00FE37F0" w:rsidRPr="00D9581F">
        <w:t>accès sûr au bâtiment</w:t>
      </w:r>
      <w:r w:rsidRPr="00D9581F">
        <w:t> ;</w:t>
      </w:r>
      <w:r w:rsidR="00FE37F0" w:rsidRPr="00D9581F">
        <w:t xml:space="preserve"> 10,5</w:t>
      </w:r>
      <w:r w:rsidR="00C41781" w:rsidRPr="00D9581F">
        <w:t> </w:t>
      </w:r>
      <w:r w:rsidR="00FE37F0" w:rsidRPr="00D9581F">
        <w:t>% ont coché l</w:t>
      </w:r>
      <w:r w:rsidR="00D114B1" w:rsidRPr="00D9581F">
        <w:t>’</w:t>
      </w:r>
      <w:r w:rsidR="00FE37F0" w:rsidRPr="00D9581F">
        <w:t>adaptation de l</w:t>
      </w:r>
      <w:r w:rsidR="00D114B1" w:rsidRPr="00D9581F">
        <w:t>’</w:t>
      </w:r>
      <w:r w:rsidR="00FE37F0" w:rsidRPr="00D9581F">
        <w:t>espace de travail</w:t>
      </w:r>
      <w:r w:rsidRPr="00D9581F">
        <w:t> ;</w:t>
      </w:r>
      <w:r w:rsidR="00FE37F0" w:rsidRPr="00D9581F">
        <w:t xml:space="preserve"> 9,7</w:t>
      </w:r>
      <w:r w:rsidR="00C41781" w:rsidRPr="00D9581F">
        <w:t> </w:t>
      </w:r>
      <w:r w:rsidR="00FE37F0" w:rsidRPr="00D9581F">
        <w:t>% ont choisi l</w:t>
      </w:r>
      <w:r w:rsidR="00D114B1" w:rsidRPr="00D9581F">
        <w:t>’</w:t>
      </w:r>
      <w:r w:rsidR="00FE37F0" w:rsidRPr="00D9581F">
        <w:t>adaptation des tâches de travail</w:t>
      </w:r>
      <w:r w:rsidR="006A5D3A" w:rsidRPr="00D9581F">
        <w:t> ;</w:t>
      </w:r>
      <w:r w:rsidR="00FE37F0" w:rsidRPr="00D9581F">
        <w:t xml:space="preserve"> 4</w:t>
      </w:r>
      <w:r w:rsidR="00C41781" w:rsidRPr="00D9581F">
        <w:t> </w:t>
      </w:r>
      <w:r w:rsidR="00FE37F0" w:rsidRPr="00D9581F">
        <w:t xml:space="preserve">% </w:t>
      </w:r>
      <w:r w:rsidR="006A5D3A" w:rsidRPr="00D9581F">
        <w:t xml:space="preserve">estiment </w:t>
      </w:r>
      <w:r w:rsidR="00FE37F0" w:rsidRPr="00D9581F">
        <w:t xml:space="preserve"> que les bureaux devraient être marqués avec </w:t>
      </w:r>
      <w:r w:rsidR="00C41781" w:rsidRPr="00D9581F">
        <w:t>des</w:t>
      </w:r>
      <w:r w:rsidR="00FE37F0" w:rsidRPr="00D9581F">
        <w:t xml:space="preserve"> numéros en gros caractères pour les personnes </w:t>
      </w:r>
      <w:r w:rsidR="00C41781" w:rsidRPr="00D9581F">
        <w:t>déficientes visuelles</w:t>
      </w:r>
      <w:r w:rsidR="00FE37F0" w:rsidRPr="00D9581F">
        <w:t xml:space="preserve">, tandis que le plus petit pourcentage des réponses </w:t>
      </w:r>
      <w:r w:rsidR="00FF40E6" w:rsidRPr="00D9581F">
        <w:t xml:space="preserve">(1,6 %) </w:t>
      </w:r>
      <w:r w:rsidR="00FE37F0" w:rsidRPr="00D9581F">
        <w:t>concerne le marquage des bureaux en braille</w:t>
      </w:r>
      <w:r w:rsidR="00147F23" w:rsidRPr="00D9581F">
        <w:t>.</w:t>
      </w:r>
    </w:p>
    <w:p w:rsidR="00147F23" w:rsidRPr="00D9581F" w:rsidRDefault="000C365C" w:rsidP="00147F23">
      <w:r w:rsidRPr="00D9581F">
        <w:t>Quelles technologies d</w:t>
      </w:r>
      <w:r w:rsidR="00D114B1" w:rsidRPr="00D9581F">
        <w:t>’</w:t>
      </w:r>
      <w:r w:rsidRPr="00D9581F">
        <w:t>assistance sont les plus utilisées par les personnes déficientes visuelles sur leur lieu de travail </w:t>
      </w:r>
      <w:r w:rsidR="00147F23" w:rsidRPr="00D9581F">
        <w:t>?</w:t>
      </w:r>
    </w:p>
    <w:p w:rsidR="00147F23" w:rsidRPr="00D9581F" w:rsidRDefault="000C365C" w:rsidP="00147F23">
      <w:r w:rsidRPr="00D9581F">
        <w:t xml:space="preserve">Le plus grand pourcentage de </w:t>
      </w:r>
      <w:r w:rsidR="006A5D3A" w:rsidRPr="00D9581F">
        <w:t>personnes</w:t>
      </w:r>
      <w:r w:rsidRPr="00D9581F">
        <w:t xml:space="preserve"> utilise l</w:t>
      </w:r>
      <w:r w:rsidR="00D114B1" w:rsidRPr="00D9581F">
        <w:t>’</w:t>
      </w:r>
      <w:r w:rsidRPr="00D9581F">
        <w:t>ordinateur avec synthèse vocale (18,5 %). Certains répondants n</w:t>
      </w:r>
      <w:r w:rsidR="00D114B1" w:rsidRPr="00D9581F">
        <w:t>’</w:t>
      </w:r>
      <w:r w:rsidRPr="00D9581F">
        <w:t>utilisent aucune technologie d</w:t>
      </w:r>
      <w:r w:rsidR="00D114B1" w:rsidRPr="00D9581F">
        <w:t>’</w:t>
      </w:r>
      <w:r w:rsidRPr="00D9581F">
        <w:t>assistance car ils n</w:t>
      </w:r>
      <w:r w:rsidR="00D114B1" w:rsidRPr="00D9581F">
        <w:t>’</w:t>
      </w:r>
      <w:r w:rsidRPr="00D9581F">
        <w:t xml:space="preserve">en ont pas besoin pour effectuer correctement leur travail (opérateurs téléphoniques, </w:t>
      </w:r>
      <w:r w:rsidR="006A5D3A" w:rsidRPr="00D9581F">
        <w:t>kinési</w:t>
      </w:r>
      <w:r w:rsidRPr="00D9581F">
        <w:t>thérapeutes</w:t>
      </w:r>
      <w:r w:rsidR="00147F23" w:rsidRPr="00D9581F">
        <w:t>...).</w:t>
      </w:r>
    </w:p>
    <w:p w:rsidR="00147F23" w:rsidRPr="00D9581F" w:rsidRDefault="00147F23" w:rsidP="00147F23">
      <w:pPr>
        <w:pStyle w:val="Titre3"/>
        <w:rPr>
          <w:lang w:val="fr-FR"/>
        </w:rPr>
      </w:pPr>
      <w:r w:rsidRPr="00D9581F">
        <w:rPr>
          <w:lang w:val="fr-FR"/>
        </w:rPr>
        <w:t>Conclusion</w:t>
      </w:r>
    </w:p>
    <w:p w:rsidR="00147F23" w:rsidRPr="00D9581F" w:rsidRDefault="000C365C" w:rsidP="00147F23">
      <w:r w:rsidRPr="00D9581F">
        <w:t xml:space="preserve">Comme nous pouvons le voir dans cette étude, il y a un plus grand pourcentage de personnes sans emploi parmi les déficients visuels en </w:t>
      </w:r>
      <w:r w:rsidRPr="00D9581F">
        <w:lastRenderedPageBreak/>
        <w:t xml:space="preserve">Serbie. Il </w:t>
      </w:r>
      <w:r w:rsidR="000668AD" w:rsidRPr="00D9581F">
        <w:t>reste</w:t>
      </w:r>
      <w:r w:rsidRPr="00D9581F">
        <w:t xml:space="preserve"> tant à faire en Serbie pour diminuer le taux de chômage des personnes déficientes visuelles</w:t>
      </w:r>
      <w:r w:rsidR="000668AD" w:rsidRPr="00D9581F">
        <w:t> !</w:t>
      </w:r>
      <w:r w:rsidRPr="00D9581F">
        <w:t xml:space="preserve"> </w:t>
      </w:r>
      <w:r w:rsidR="000668AD" w:rsidRPr="00D9581F">
        <w:t>Pour</w:t>
      </w:r>
      <w:r w:rsidRPr="00D9581F">
        <w:t xml:space="preserve"> </w:t>
      </w:r>
      <w:r w:rsidR="000668AD" w:rsidRPr="00D9581F">
        <w:t>aborder</w:t>
      </w:r>
      <w:r w:rsidRPr="00D9581F">
        <w:t xml:space="preserve"> ce problème de la façon la plus adaptée possible, </w:t>
      </w:r>
      <w:r w:rsidR="009B414A" w:rsidRPr="00D9581F">
        <w:t xml:space="preserve">il est nécessaire que </w:t>
      </w:r>
      <w:r w:rsidRPr="00D9581F">
        <w:t>l</w:t>
      </w:r>
      <w:r w:rsidR="00D114B1" w:rsidRPr="00D9581F">
        <w:t>’</w:t>
      </w:r>
      <w:r w:rsidRPr="00D9581F">
        <w:t>État et ses institutions, les médias et l</w:t>
      </w:r>
      <w:r w:rsidR="00D114B1" w:rsidRPr="00D9581F">
        <w:t>’</w:t>
      </w:r>
      <w:r w:rsidRPr="00D9581F">
        <w:t xml:space="preserve">Union des Aveugles de Serbie avec ses organisations locales </w:t>
      </w:r>
      <w:r w:rsidR="009B414A" w:rsidRPr="00D9581F">
        <w:t>s’impliquent davantage,</w:t>
      </w:r>
      <w:r w:rsidRPr="00D9581F">
        <w:t xml:space="preserve"> et il y a encore </w:t>
      </w:r>
      <w:r w:rsidR="00D74DE6" w:rsidRPr="00D9581F">
        <w:t>de grands progrès à accomplir</w:t>
      </w:r>
      <w:r w:rsidRPr="00D9581F">
        <w:t xml:space="preserve"> pour sensibiliser la société. Afin de diminuer et d</w:t>
      </w:r>
      <w:r w:rsidR="00D114B1" w:rsidRPr="00D9581F">
        <w:t>’</w:t>
      </w:r>
      <w:r w:rsidRPr="00D9581F">
        <w:t xml:space="preserve">éliminer les préjugés, </w:t>
      </w:r>
      <w:r w:rsidR="000B7556" w:rsidRPr="00D9581F">
        <w:t>notamment en matière</w:t>
      </w:r>
      <w:r w:rsidRPr="00D9581F">
        <w:t xml:space="preserve"> d</w:t>
      </w:r>
      <w:r w:rsidR="000B7556" w:rsidRPr="00D9581F">
        <w:t>’</w:t>
      </w:r>
      <w:r w:rsidRPr="00D9581F">
        <w:t>emploi, il est nécessaire d</w:t>
      </w:r>
      <w:r w:rsidR="00D114B1" w:rsidRPr="00D9581F">
        <w:t>’</w:t>
      </w:r>
      <w:r w:rsidRPr="00D9581F">
        <w:t xml:space="preserve">organiser </w:t>
      </w:r>
      <w:r w:rsidR="00D74DE6" w:rsidRPr="00D9581F">
        <w:t>des</w:t>
      </w:r>
      <w:r w:rsidRPr="00D9581F">
        <w:t xml:space="preserve"> tables rondes, séminaires, webinaires, ateliers et formations d</w:t>
      </w:r>
      <w:r w:rsidR="000B7556" w:rsidRPr="00D9581F">
        <w:t xml:space="preserve">es </w:t>
      </w:r>
      <w:r w:rsidRPr="00D9581F">
        <w:t xml:space="preserve">employeurs dans différentes entreprises. Les employeurs </w:t>
      </w:r>
      <w:r w:rsidR="000B7556" w:rsidRPr="00D9581F">
        <w:t>pointent</w:t>
      </w:r>
      <w:r w:rsidRPr="00D9581F">
        <w:t xml:space="preserve"> généralement</w:t>
      </w:r>
      <w:r w:rsidR="000B7556" w:rsidRPr="00D9581F">
        <w:t xml:space="preserve"> du doigt</w:t>
      </w:r>
      <w:r w:rsidRPr="00D9581F">
        <w:t xml:space="preserve"> la déficience visuelle, c</w:t>
      </w:r>
      <w:r w:rsidR="00D114B1" w:rsidRPr="00D9581F">
        <w:t>’</w:t>
      </w:r>
      <w:r w:rsidRPr="00D9581F">
        <w:t xml:space="preserve">est-à-dire les </w:t>
      </w:r>
      <w:r w:rsidR="000B7556" w:rsidRPr="00D9581F">
        <w:t>limites</w:t>
      </w:r>
      <w:r w:rsidRPr="00D9581F">
        <w:t xml:space="preserve"> d</w:t>
      </w:r>
      <w:r w:rsidR="000B7556" w:rsidRPr="00D9581F">
        <w:t>e la</w:t>
      </w:r>
      <w:r w:rsidRPr="00D9581F">
        <w:t xml:space="preserve"> personne déficiente visuelle. Au contraire, ces personnes, en fonction de leurs qualifications, possibilités et opportunités, peuvent accomplir leurs tâches de </w:t>
      </w:r>
      <w:r w:rsidR="00AA4B54" w:rsidRPr="00D9581F">
        <w:t xml:space="preserve">façon </w:t>
      </w:r>
      <w:r w:rsidRPr="00D9581F">
        <w:t xml:space="preserve"> adéquate, avec certaines adaptations raisonnables si nécessaire</w:t>
      </w:r>
      <w:r w:rsidR="00147F23" w:rsidRPr="00D9581F">
        <w:t>.</w:t>
      </w:r>
    </w:p>
    <w:p w:rsidR="00147F23" w:rsidRPr="00D9581F" w:rsidRDefault="002149AF" w:rsidP="00147F23">
      <w:r w:rsidRPr="00D9581F">
        <w:t xml:space="preserve">Il serait pertinent de mener des </w:t>
      </w:r>
      <w:r w:rsidR="000C365C" w:rsidRPr="00D9581F">
        <w:t>recherches supplémentaires sur ce sujet à l</w:t>
      </w:r>
      <w:r w:rsidR="00D114B1" w:rsidRPr="00D9581F">
        <w:t>’</w:t>
      </w:r>
      <w:r w:rsidR="000C365C" w:rsidRPr="00D9581F">
        <w:t>avenir, afin de vérifier si la situation de ces personnes évolue en matière d</w:t>
      </w:r>
      <w:r w:rsidR="00D114B1" w:rsidRPr="00D9581F">
        <w:t>’</w:t>
      </w:r>
      <w:r w:rsidR="000C365C" w:rsidRPr="00D9581F">
        <w:t>emploi dans notre pays</w:t>
      </w:r>
      <w:r w:rsidR="00147F23" w:rsidRPr="00D9581F">
        <w:t>.</w:t>
      </w:r>
    </w:p>
    <w:p w:rsidR="00147F23" w:rsidRPr="00D9581F" w:rsidRDefault="00147F23" w:rsidP="00147F23">
      <w:r w:rsidRPr="00D9581F">
        <w:rPr>
          <w:b/>
        </w:rPr>
        <w:t>Suzana Jojić</w:t>
      </w:r>
      <w:r w:rsidRPr="00D9581F">
        <w:t xml:space="preserve"> </w:t>
      </w:r>
      <w:r w:rsidR="00F5765F" w:rsidRPr="00D9581F">
        <w:t>et</w:t>
      </w:r>
      <w:r w:rsidRPr="00D9581F">
        <w:t xml:space="preserve"> </w:t>
      </w:r>
      <w:r w:rsidRPr="00D9581F">
        <w:rPr>
          <w:b/>
        </w:rPr>
        <w:t>Mara Ožegović</w:t>
      </w:r>
      <w:r w:rsidRPr="00D9581F">
        <w:t xml:space="preserve">, </w:t>
      </w:r>
      <w:r w:rsidR="00F5765F" w:rsidRPr="00D9581F">
        <w:t>professeurs spécialisés</w:t>
      </w:r>
    </w:p>
    <w:p w:rsidR="00B01E8B" w:rsidRPr="00D9581F" w:rsidRDefault="00652CB9" w:rsidP="006173D4">
      <w:pPr>
        <w:pStyle w:val="Titre2"/>
        <w:rPr>
          <w:lang w:val="fr-FR"/>
        </w:rPr>
      </w:pPr>
      <w:r w:rsidRPr="00D9581F">
        <w:rPr>
          <w:lang w:val="fr-FR"/>
        </w:rPr>
        <w:t>N</w:t>
      </w:r>
      <w:r w:rsidR="00471E1B" w:rsidRPr="00D9581F">
        <w:rPr>
          <w:lang w:val="fr-FR"/>
        </w:rPr>
        <w:t>umérisation dans le secteur de l</w:t>
      </w:r>
      <w:r w:rsidR="00D114B1" w:rsidRPr="00D9581F">
        <w:rPr>
          <w:lang w:val="fr-FR"/>
        </w:rPr>
        <w:t>’</w:t>
      </w:r>
      <w:r w:rsidR="00471E1B" w:rsidRPr="00D9581F">
        <w:rPr>
          <w:lang w:val="fr-FR"/>
        </w:rPr>
        <w:t xml:space="preserve">emploi : </w:t>
      </w:r>
      <w:r w:rsidR="001A43EB" w:rsidRPr="00D9581F">
        <w:rPr>
          <w:lang w:val="fr-FR"/>
        </w:rPr>
        <w:t xml:space="preserve">rupture ou </w:t>
      </w:r>
      <w:r w:rsidRPr="00D9581F">
        <w:rPr>
          <w:lang w:val="fr-FR"/>
        </w:rPr>
        <w:t>avancée</w:t>
      </w:r>
      <w:r w:rsidR="00471E1B" w:rsidRPr="00D9581F">
        <w:rPr>
          <w:lang w:val="fr-FR"/>
        </w:rPr>
        <w:t> </w:t>
      </w:r>
      <w:r w:rsidR="00147F23" w:rsidRPr="00D9581F">
        <w:rPr>
          <w:lang w:val="fr-FR"/>
        </w:rPr>
        <w:t>?</w:t>
      </w:r>
    </w:p>
    <w:p w:rsidR="00147F23" w:rsidRPr="00D9581F" w:rsidRDefault="00515A99" w:rsidP="00147F23">
      <w:r w:rsidRPr="00D9581F">
        <w:t>En tant que propriétaire d</w:t>
      </w:r>
      <w:r w:rsidR="00D114B1" w:rsidRPr="00D9581F">
        <w:t>’</w:t>
      </w:r>
      <w:r w:rsidRPr="00D9581F">
        <w:t xml:space="preserve">une petite entreprise, créer et envoyer des factures est généralement une tâche </w:t>
      </w:r>
      <w:r w:rsidR="006C4CA5" w:rsidRPr="00D9581F">
        <w:t>que j’accomplis l’esprit joyeux</w:t>
      </w:r>
      <w:r w:rsidRPr="00D9581F">
        <w:t xml:space="preserve">. Mon travail est terminé, il est temps pour </w:t>
      </w:r>
      <w:r w:rsidR="006C4CA5" w:rsidRPr="00D9581F">
        <w:t>moi de faire payer mon client</w:t>
      </w:r>
      <w:r w:rsidRPr="00D9581F">
        <w:t>. Tout se passe comme sur des roulettes, jusqu</w:t>
      </w:r>
      <w:r w:rsidR="00D114B1" w:rsidRPr="00D9581F">
        <w:t>’</w:t>
      </w:r>
      <w:r w:rsidRPr="00D9581F">
        <w:t>à ce qu</w:t>
      </w:r>
      <w:r w:rsidR="00D114B1" w:rsidRPr="00D9581F">
        <w:t>’</w:t>
      </w:r>
      <w:r w:rsidRPr="00D9581F">
        <w:t xml:space="preserve">un matin, en me connectant à mon logiciel de comptabilité basé sur le cloud, je sois accueilli par une </w:t>
      </w:r>
      <w:r w:rsidR="006C4CA5" w:rsidRPr="00D9581F">
        <w:t xml:space="preserve">fenêtre </w:t>
      </w:r>
      <w:r w:rsidRPr="00D9581F">
        <w:t>pop-</w:t>
      </w:r>
      <w:r w:rsidR="008E1584" w:rsidRPr="00D9581F">
        <w:t>up</w:t>
      </w:r>
      <w:r w:rsidR="006C4CA5" w:rsidRPr="00D9581F">
        <w:t xml:space="preserve"> frétillante</w:t>
      </w:r>
      <w:r w:rsidR="008E1584" w:rsidRPr="00D9581F">
        <w:t>, indiquant : « N</w:t>
      </w:r>
      <w:r w:rsidRPr="00D9581F">
        <w:t xml:space="preserve">ous avons </w:t>
      </w:r>
      <w:r w:rsidR="008E1584" w:rsidRPr="00D9581F">
        <w:t xml:space="preserve">entièrement repensé </w:t>
      </w:r>
      <w:r w:rsidRPr="00D9581F">
        <w:t>l</w:t>
      </w:r>
      <w:r w:rsidR="00D114B1" w:rsidRPr="00D9581F">
        <w:t>’</w:t>
      </w:r>
      <w:r w:rsidRPr="00D9581F">
        <w:t xml:space="preserve">interface utilisateur </w:t>
      </w:r>
      <w:r w:rsidR="008E1584" w:rsidRPr="00D9581F">
        <w:t>afin de</w:t>
      </w:r>
      <w:r w:rsidRPr="00D9581F">
        <w:t xml:space="preserve"> vous offrir la meilleure expérience possible</w:t>
      </w:r>
      <w:r w:rsidR="008E1584" w:rsidRPr="00D9581F">
        <w:t> »</w:t>
      </w:r>
      <w:r w:rsidRPr="00D9581F">
        <w:t xml:space="preserve">. </w:t>
      </w:r>
      <w:r w:rsidR="00E915EB" w:rsidRPr="00D9581F">
        <w:t xml:space="preserve">Sentant monter </w:t>
      </w:r>
      <w:r w:rsidR="006C4CA5" w:rsidRPr="00D9581F">
        <w:t>une bouffée d’angoisse</w:t>
      </w:r>
      <w:r w:rsidR="00E915EB" w:rsidRPr="00D9581F">
        <w:t>, je m</w:t>
      </w:r>
      <w:r w:rsidR="00D114B1" w:rsidRPr="00D9581F">
        <w:t>’</w:t>
      </w:r>
      <w:r w:rsidR="00E915EB" w:rsidRPr="00D9581F">
        <w:t xml:space="preserve">efforce </w:t>
      </w:r>
      <w:r w:rsidRPr="00D9581F">
        <w:t>d</w:t>
      </w:r>
      <w:r w:rsidR="00D114B1" w:rsidRPr="00D9581F">
        <w:t>’</w:t>
      </w:r>
      <w:r w:rsidRPr="00D9581F">
        <w:t xml:space="preserve">ignorer </w:t>
      </w:r>
      <w:r w:rsidR="00E915EB" w:rsidRPr="00D9581F">
        <w:t>ce</w:t>
      </w:r>
      <w:r w:rsidR="006C4CA5" w:rsidRPr="00D9581F">
        <w:t xml:space="preserve"> message</w:t>
      </w:r>
      <w:r w:rsidR="00E915EB" w:rsidRPr="00D9581F">
        <w:t>, mais s</w:t>
      </w:r>
      <w:r w:rsidRPr="00D9581F">
        <w:t>ans succès. Une fois, deux fois, trois fois. Jusqu</w:t>
      </w:r>
      <w:r w:rsidR="00D114B1" w:rsidRPr="00D9581F">
        <w:t>’</w:t>
      </w:r>
      <w:r w:rsidRPr="00D9581F">
        <w:t>à ce que l</w:t>
      </w:r>
      <w:r w:rsidR="00D114B1" w:rsidRPr="00D9581F">
        <w:t>’</w:t>
      </w:r>
      <w:r w:rsidRPr="00D9581F">
        <w:t xml:space="preserve">on me propose </w:t>
      </w:r>
      <w:r w:rsidR="0062726F" w:rsidRPr="00D9581F">
        <w:t>brusquement</w:t>
      </w:r>
      <w:r w:rsidRPr="00D9581F">
        <w:t xml:space="preserve"> une vidéo de </w:t>
      </w:r>
      <w:r w:rsidR="0062726F" w:rsidRPr="00D9581F">
        <w:t>présentation</w:t>
      </w:r>
      <w:r w:rsidR="006C4CA5" w:rsidRPr="00D9581F">
        <w:t xml:space="preserve"> qui, </w:t>
      </w:r>
      <w:r w:rsidRPr="00D9581F">
        <w:t xml:space="preserve">pour moi, </w:t>
      </w:r>
      <w:r w:rsidR="00A224D4" w:rsidRPr="00D9581F">
        <w:t xml:space="preserve">se résume à subir pendant </w:t>
      </w:r>
      <w:r w:rsidRPr="00D9581F">
        <w:t xml:space="preserve">4 minutes </w:t>
      </w:r>
      <w:r w:rsidR="00A224D4" w:rsidRPr="00D9581F">
        <w:t>une</w:t>
      </w:r>
      <w:r w:rsidRPr="00D9581F">
        <w:t xml:space="preserve"> </w:t>
      </w:r>
      <w:r w:rsidR="006C4CA5" w:rsidRPr="00D9581F">
        <w:t xml:space="preserve">ennuyeuse </w:t>
      </w:r>
      <w:r w:rsidRPr="00D9581F">
        <w:t>musique d</w:t>
      </w:r>
      <w:r w:rsidR="00D114B1" w:rsidRPr="00D9581F">
        <w:t>’</w:t>
      </w:r>
      <w:r w:rsidRPr="00D9581F">
        <w:t xml:space="preserve">entreprise. Après avoir demandé à un collègue voyant de cliquer sur le bouton de </w:t>
      </w:r>
      <w:r w:rsidR="00E92147" w:rsidRPr="00D9581F">
        <w:t>fermeture</w:t>
      </w:r>
      <w:r w:rsidRPr="00D9581F">
        <w:t xml:space="preserve">, je constate que la nouvelle </w:t>
      </w:r>
      <w:r w:rsidR="00F40702" w:rsidRPr="00D9581F">
        <w:t xml:space="preserve"> </w:t>
      </w:r>
      <w:r w:rsidRPr="00D9581F">
        <w:t>interface est désormais totalement inaccessible avec un lecteur d</w:t>
      </w:r>
      <w:r w:rsidR="00D114B1" w:rsidRPr="00D9581F">
        <w:t>’</w:t>
      </w:r>
      <w:r w:rsidRPr="00D9581F">
        <w:t>écran. J</w:t>
      </w:r>
      <w:r w:rsidR="00D114B1" w:rsidRPr="00D9581F">
        <w:t>’</w:t>
      </w:r>
      <w:r w:rsidRPr="00D9581F">
        <w:t>essaie plusieurs navigateurs différents, je charge une machine virtuelle pour tester un autre système d</w:t>
      </w:r>
      <w:r w:rsidR="00D114B1" w:rsidRPr="00D9581F">
        <w:t>’</w:t>
      </w:r>
      <w:r w:rsidRPr="00D9581F">
        <w:t xml:space="preserve">exploitation, mais </w:t>
      </w:r>
      <w:r w:rsidR="00481EB4" w:rsidRPr="00D9581F">
        <w:t>rien n</w:t>
      </w:r>
      <w:r w:rsidR="00D114B1" w:rsidRPr="00D9581F">
        <w:t>’</w:t>
      </w:r>
      <w:r w:rsidR="00481EB4" w:rsidRPr="00D9581F">
        <w:t>y fait</w:t>
      </w:r>
      <w:r w:rsidRPr="00D9581F">
        <w:t xml:space="preserve">. Une </w:t>
      </w:r>
      <w:r w:rsidR="00396576" w:rsidRPr="00D9581F">
        <w:t xml:space="preserve">fois encore, la </w:t>
      </w:r>
      <w:r w:rsidRPr="00D9581F">
        <w:t>mise à jour du logiciel a cassé mon flux de travail. C</w:t>
      </w:r>
      <w:r w:rsidR="00D114B1" w:rsidRPr="00D9581F">
        <w:t>’</w:t>
      </w:r>
      <w:r w:rsidRPr="00D9581F">
        <w:t xml:space="preserve">est la troisième fois ce mois-ci. </w:t>
      </w:r>
      <w:r w:rsidR="00B1270A" w:rsidRPr="00D9581F">
        <w:t>Pour l</w:t>
      </w:r>
      <w:r w:rsidR="00D114B1" w:rsidRPr="00D9581F">
        <w:t>’</w:t>
      </w:r>
      <w:r w:rsidR="00B1270A" w:rsidRPr="00D9581F">
        <w:t>heure,</w:t>
      </w:r>
      <w:r w:rsidRPr="00D9581F">
        <w:t xml:space="preserve"> </w:t>
      </w:r>
      <w:r w:rsidR="00F40702" w:rsidRPr="00D9581F">
        <w:t>me voilà</w:t>
      </w:r>
      <w:r w:rsidRPr="00D9581F">
        <w:t xml:space="preserve"> </w:t>
      </w:r>
      <w:r w:rsidR="00B1270A" w:rsidRPr="00D9581F">
        <w:t>bel et bien</w:t>
      </w:r>
      <w:r w:rsidRPr="00D9581F">
        <w:t xml:space="preserve"> sans </w:t>
      </w:r>
      <w:r w:rsidR="00B1270A" w:rsidRPr="00D9581F">
        <w:t>revenu</w:t>
      </w:r>
      <w:r w:rsidR="00147F23" w:rsidRPr="00D9581F">
        <w:t>.</w:t>
      </w:r>
    </w:p>
    <w:p w:rsidR="00147F23" w:rsidRPr="00D9581F" w:rsidRDefault="005278EF" w:rsidP="00147F23">
      <w:r w:rsidRPr="00D9581F">
        <w:t xml:space="preserve">Je suis </w:t>
      </w:r>
      <w:r w:rsidR="00D00ED6" w:rsidRPr="00D9581F">
        <w:t>certain</w:t>
      </w:r>
      <w:r w:rsidRPr="00D9581F">
        <w:t xml:space="preserve"> que cette expérience n</w:t>
      </w:r>
      <w:r w:rsidR="00D114B1" w:rsidRPr="00D9581F">
        <w:t>’</w:t>
      </w:r>
      <w:r w:rsidRPr="00D9581F">
        <w:t xml:space="preserve">est pas inconnue des personnes </w:t>
      </w:r>
      <w:r w:rsidR="00BE21E6" w:rsidRPr="00D9581F">
        <w:t xml:space="preserve">qui </w:t>
      </w:r>
      <w:r w:rsidRPr="00D9581F">
        <w:t>travaill</w:t>
      </w:r>
      <w:r w:rsidR="00BE21E6" w:rsidRPr="00D9581F">
        <w:t>e</w:t>
      </w:r>
      <w:r w:rsidRPr="00D9581F">
        <w:t>nt dans des environnements professionnels.</w:t>
      </w:r>
      <w:r w:rsidR="00BE21E6" w:rsidRPr="00D9581F">
        <w:t xml:space="preserve"> Certes, l</w:t>
      </w:r>
      <w:r w:rsidRPr="00D9581F">
        <w:t xml:space="preserve">a numérisation nous </w:t>
      </w:r>
      <w:r w:rsidR="00BE21E6" w:rsidRPr="00D9581F">
        <w:t>procure</w:t>
      </w:r>
      <w:r w:rsidR="00DB0D1D" w:rsidRPr="00D9581F">
        <w:t xml:space="preserve"> </w:t>
      </w:r>
      <w:r w:rsidR="00BE21E6" w:rsidRPr="00D9581F">
        <w:t>des</w:t>
      </w:r>
      <w:r w:rsidR="00DB0D1D" w:rsidRPr="00D9581F">
        <w:t xml:space="preserve"> avantages </w:t>
      </w:r>
      <w:r w:rsidR="00BE21E6" w:rsidRPr="00D9581F">
        <w:t xml:space="preserve">considérables </w:t>
      </w:r>
      <w:r w:rsidR="00DB0D1D" w:rsidRPr="00D9581F">
        <w:t>en optimisant</w:t>
      </w:r>
      <w:r w:rsidRPr="00D9581F">
        <w:t xml:space="preserve"> la vie professionnelle </w:t>
      </w:r>
      <w:r w:rsidR="00DB0D1D" w:rsidRPr="00D9581F">
        <w:t>au quotidien,</w:t>
      </w:r>
      <w:r w:rsidRPr="00D9581F">
        <w:t xml:space="preserve"> mais</w:t>
      </w:r>
      <w:r w:rsidR="00DB0D1D" w:rsidRPr="00D9581F">
        <w:t xml:space="preserve"> en</w:t>
      </w:r>
      <w:r w:rsidRPr="00D9581F">
        <w:t xml:space="preserve"> même temps, elle laiss</w:t>
      </w:r>
      <w:r w:rsidR="00DB0D1D" w:rsidRPr="00D9581F">
        <w:t>e</w:t>
      </w:r>
      <w:r w:rsidRPr="00D9581F">
        <w:t xml:space="preserve"> les </w:t>
      </w:r>
      <w:r w:rsidRPr="00D9581F">
        <w:lastRenderedPageBreak/>
        <w:t xml:space="preserve">personnes handicapées </w:t>
      </w:r>
      <w:r w:rsidR="00BE21E6" w:rsidRPr="00D9581F">
        <w:t>livrées aux</w:t>
      </w:r>
      <w:r w:rsidRPr="00D9581F">
        <w:t xml:space="preserve"> mains des développeurs, pour lesquels l</w:t>
      </w:r>
      <w:r w:rsidR="00D114B1" w:rsidRPr="00D9581F">
        <w:t>’</w:t>
      </w:r>
      <w:r w:rsidRPr="00D9581F">
        <w:t xml:space="preserve">accessibilité </w:t>
      </w:r>
      <w:r w:rsidR="00E23E3F" w:rsidRPr="00D9581F">
        <w:t>reste un élément</w:t>
      </w:r>
      <w:r w:rsidRPr="00D9581F">
        <w:t xml:space="preserve"> dont ils ont peut-être entendu parler, mais avec l</w:t>
      </w:r>
      <w:r w:rsidR="00E23E3F" w:rsidRPr="00D9581F">
        <w:t>e</w:t>
      </w:r>
      <w:r w:rsidRPr="00D9581F">
        <w:t xml:space="preserve">quel ils ne sont </w:t>
      </w:r>
      <w:r w:rsidR="00BE21E6" w:rsidRPr="00D9581F">
        <w:t xml:space="preserve">absolument </w:t>
      </w:r>
      <w:r w:rsidRPr="00D9581F">
        <w:t xml:space="preserve">pas familiers. Et cela a entraîné de nouveaux défis pour pratiquement toutes les professions. Vous voulez </w:t>
      </w:r>
      <w:r w:rsidR="0017703B" w:rsidRPr="00D9581F">
        <w:t>devenir</w:t>
      </w:r>
      <w:r w:rsidRPr="00D9581F">
        <w:t xml:space="preserve"> chef cuisinier</w:t>
      </w:r>
      <w:r w:rsidR="0017703B" w:rsidRPr="00D9581F">
        <w:t xml:space="preserve"> en étant</w:t>
      </w:r>
      <w:r w:rsidRPr="00D9581F">
        <w:t xml:space="preserve"> aveugle ? Bonne chance pour trouver des appareils de cuisine sans commandes tactiles</w:t>
      </w:r>
      <w:r w:rsidR="00F84448" w:rsidRPr="00D9581F">
        <w:t> !</w:t>
      </w:r>
      <w:r w:rsidRPr="00D9581F">
        <w:t xml:space="preserve"> Vous êtes kinésithérapeute ? Les logiciels de gestion </w:t>
      </w:r>
      <w:r w:rsidR="00F84448" w:rsidRPr="00D9581F">
        <w:t xml:space="preserve">clientèle sont rarement </w:t>
      </w:r>
      <w:r w:rsidRPr="00D9581F">
        <w:t>très accessibles. Vous avez créé votre propre entreprise ? Les exigences croissantes en matière de marketing et d</w:t>
      </w:r>
      <w:r w:rsidR="00D114B1" w:rsidRPr="00D9581F">
        <w:t>’</w:t>
      </w:r>
      <w:r w:rsidRPr="00D9581F">
        <w:t>attractivité visuelle, sans outils de conception accessibles, vous obligent à externaliser ces tâches, ce qui vous coûte de l</w:t>
      </w:r>
      <w:r w:rsidR="00D114B1" w:rsidRPr="00D9581F">
        <w:t>’</w:t>
      </w:r>
      <w:r w:rsidRPr="00D9581F">
        <w:t xml:space="preserve">argent </w:t>
      </w:r>
      <w:r w:rsidR="00864B3E" w:rsidRPr="00D9581F">
        <w:t>là où d</w:t>
      </w:r>
      <w:r w:rsidR="00D114B1" w:rsidRPr="00D9581F">
        <w:t>’</w:t>
      </w:r>
      <w:r w:rsidR="00864B3E" w:rsidRPr="00D9581F">
        <w:t>autres</w:t>
      </w:r>
      <w:r w:rsidRPr="00D9581F">
        <w:t xml:space="preserve"> </w:t>
      </w:r>
      <w:r w:rsidR="00864B3E" w:rsidRPr="00D9581F">
        <w:t>peuvent</w:t>
      </w:r>
      <w:r w:rsidR="008F7DB4" w:rsidRPr="00D9581F">
        <w:t xml:space="preserve"> économiser. Et la</w:t>
      </w:r>
      <w:r w:rsidRPr="00D9581F">
        <w:t xml:space="preserve"> liste est longue. Il est donc extrêmement important de sensibiliser davantage les développeurs et les fabricants </w:t>
      </w:r>
      <w:r w:rsidR="008F7DB4" w:rsidRPr="00D9581F">
        <w:t>en matière d’</w:t>
      </w:r>
      <w:r w:rsidRPr="00D9581F">
        <w:t xml:space="preserve">accessibilité. Un logiciel basé sur le </w:t>
      </w:r>
      <w:r w:rsidR="006A6057" w:rsidRPr="00D9581F">
        <w:t>w</w:t>
      </w:r>
      <w:r w:rsidRPr="00D9581F">
        <w:t xml:space="preserve">eb sera-t-il conforme aux </w:t>
      </w:r>
      <w:r w:rsidR="00F87A25" w:rsidRPr="00D9581F">
        <w:t>règles pour l</w:t>
      </w:r>
      <w:r w:rsidR="00D114B1" w:rsidRPr="00D9581F">
        <w:t>’</w:t>
      </w:r>
      <w:r w:rsidR="00F87A25" w:rsidRPr="00D9581F">
        <w:t xml:space="preserve">accessibilité des contenus </w:t>
      </w:r>
      <w:r w:rsidR="006A6057" w:rsidRPr="00D9581F">
        <w:t>w</w:t>
      </w:r>
      <w:r w:rsidR="00F87A25" w:rsidRPr="00D9581F">
        <w:t xml:space="preserve">eb </w:t>
      </w:r>
      <w:hyperlink r:id="rId12" w:anchor="contents" w:history="1">
        <w:r w:rsidR="00147F23" w:rsidRPr="00D9581F">
          <w:rPr>
            <w:rStyle w:val="Lienhypertexte"/>
          </w:rPr>
          <w:t>WCAG</w:t>
        </w:r>
      </w:hyperlink>
      <w:r w:rsidR="00147F23" w:rsidRPr="00D9581F">
        <w:t xml:space="preserve"> </w:t>
      </w:r>
      <w:r w:rsidR="006C5892" w:rsidRPr="00D9581F">
        <w:t>et aux autres directives pertinentes en matière d</w:t>
      </w:r>
      <w:r w:rsidR="00D114B1" w:rsidRPr="00D9581F">
        <w:t>’</w:t>
      </w:r>
      <w:r w:rsidR="006C5892" w:rsidRPr="00D9581F">
        <w:t>accessibilité </w:t>
      </w:r>
      <w:r w:rsidR="00147F23" w:rsidRPr="00D9581F">
        <w:t xml:space="preserve">? </w:t>
      </w:r>
      <w:r w:rsidR="00460B3D" w:rsidRPr="00D9581F">
        <w:t xml:space="preserve">Peut-on faire fonctionner une machine sans pouvoir la voir ? </w:t>
      </w:r>
      <w:r w:rsidR="000F03DD" w:rsidRPr="00D9581F">
        <w:t xml:space="preserve">Voilà </w:t>
      </w:r>
      <w:r w:rsidR="006A6057" w:rsidRPr="00D9581F">
        <w:t>quelques-unes des questions qu’un</w:t>
      </w:r>
      <w:r w:rsidR="000F03DD" w:rsidRPr="00D9581F">
        <w:t xml:space="preserve"> </w:t>
      </w:r>
      <w:r w:rsidR="00460B3D" w:rsidRPr="00D9581F">
        <w:t xml:space="preserve">propriétaire de produit </w:t>
      </w:r>
      <w:r w:rsidR="000F03DD" w:rsidRPr="00D9581F">
        <w:t>doit</w:t>
      </w:r>
      <w:r w:rsidR="00460B3D" w:rsidRPr="00D9581F">
        <w:t xml:space="preserve"> se</w:t>
      </w:r>
      <w:r w:rsidR="006A6057" w:rsidRPr="00D9581F">
        <w:t xml:space="preserve"> poser</w:t>
      </w:r>
      <w:r w:rsidR="00460B3D" w:rsidRPr="00D9581F">
        <w:t xml:space="preserve"> avant de publier une mise à jour</w:t>
      </w:r>
      <w:r w:rsidR="00147F23" w:rsidRPr="00D9581F">
        <w:t>.</w:t>
      </w:r>
    </w:p>
    <w:p w:rsidR="00147F23" w:rsidRPr="00D9581F" w:rsidRDefault="00455FC0" w:rsidP="00147F23">
      <w:r w:rsidRPr="00D9581F">
        <w:t xml:space="preserve">Néanmoins, la numérisation ne pose pas que des problèmes. Si nul ne conteste que la pandémie de Covid19 soit une calamité pour </w:t>
      </w:r>
      <w:r w:rsidR="006A6057" w:rsidRPr="00D9581F">
        <w:t>le monde entier</w:t>
      </w:r>
      <w:r w:rsidRPr="00D9581F">
        <w:t xml:space="preserve">, nous ne pouvons ignorer le fait que les réunions </w:t>
      </w:r>
      <w:r w:rsidR="006A6057" w:rsidRPr="00D9581F">
        <w:t xml:space="preserve">organisées </w:t>
      </w:r>
      <w:r w:rsidRPr="00D9581F">
        <w:t xml:space="preserve">via les logiciels de vidéoconférence </w:t>
      </w:r>
      <w:r w:rsidR="00B457A3" w:rsidRPr="00D9581F">
        <w:t>s</w:t>
      </w:r>
      <w:r w:rsidRPr="00D9581F">
        <w:t>ont</w:t>
      </w:r>
      <w:r w:rsidR="00B457A3" w:rsidRPr="00D9581F">
        <w:t xml:space="preserve"> devenues beaucoup plus </w:t>
      </w:r>
      <w:r w:rsidRPr="00D9581F">
        <w:t>accessibles. Plus besoin de s</w:t>
      </w:r>
      <w:r w:rsidR="00D114B1" w:rsidRPr="00D9581F">
        <w:t>’</w:t>
      </w:r>
      <w:r w:rsidRPr="00D9581F">
        <w:t>inquiéter de l</w:t>
      </w:r>
      <w:r w:rsidR="00D114B1" w:rsidRPr="00D9581F">
        <w:t>’</w:t>
      </w:r>
      <w:r w:rsidRPr="00D9581F">
        <w:t>accessibilité physique de la salle de réunion</w:t>
      </w:r>
      <w:r w:rsidR="006A6057" w:rsidRPr="00D9581F">
        <w:t>, ni</w:t>
      </w:r>
      <w:r w:rsidRPr="00D9581F">
        <w:t xml:space="preserve"> de se demander qui sont les autres participants. Lorsqu</w:t>
      </w:r>
      <w:r w:rsidR="00D114B1" w:rsidRPr="00D9581F">
        <w:t>’</w:t>
      </w:r>
      <w:r w:rsidRPr="00D9581F">
        <w:t>une réunion est organisée par le biais d</w:t>
      </w:r>
      <w:r w:rsidR="00D114B1" w:rsidRPr="00D9581F">
        <w:t>’</w:t>
      </w:r>
      <w:r w:rsidRPr="00D9581F">
        <w:t>un logiciel comme Zoom, il est possible d</w:t>
      </w:r>
      <w:r w:rsidR="00D114B1" w:rsidRPr="00D9581F">
        <w:t>’</w:t>
      </w:r>
      <w:r w:rsidRPr="00D9581F">
        <w:t>y assister depuis n</w:t>
      </w:r>
      <w:r w:rsidR="00D114B1" w:rsidRPr="00D9581F">
        <w:t>’</w:t>
      </w:r>
      <w:r w:rsidRPr="00D9581F">
        <w:t xml:space="preserve">importe quel endroit et de </w:t>
      </w:r>
      <w:r w:rsidR="0062366C" w:rsidRPr="00D9581F">
        <w:t>prendre connaissance des</w:t>
      </w:r>
      <w:r w:rsidRPr="00D9581F">
        <w:t xml:space="preserve"> participants</w:t>
      </w:r>
      <w:r w:rsidR="0062366C" w:rsidRPr="00D9581F">
        <w:t xml:space="preserve"> via</w:t>
      </w:r>
      <w:r w:rsidRPr="00D9581F">
        <w:t xml:space="preserve"> un lecteur d</w:t>
      </w:r>
      <w:r w:rsidR="00D114B1" w:rsidRPr="00D9581F">
        <w:t>’</w:t>
      </w:r>
      <w:r w:rsidRPr="00D9581F">
        <w:t>écran. Il est même possible d</w:t>
      </w:r>
      <w:r w:rsidR="00D114B1" w:rsidRPr="00D9581F">
        <w:t>’</w:t>
      </w:r>
      <w:r w:rsidRPr="00D9581F">
        <w:t>accéder à des sous-titres en direct et à un</w:t>
      </w:r>
      <w:r w:rsidR="00EB20E8" w:rsidRPr="00D9581F">
        <w:t>e salle</w:t>
      </w:r>
      <w:r w:rsidRPr="00D9581F">
        <w:t xml:space="preserve"> de discussion dans certaines réunions, ce qui élargit encore l</w:t>
      </w:r>
      <w:r w:rsidR="00D114B1" w:rsidRPr="00D9581F">
        <w:t>’</w:t>
      </w:r>
      <w:r w:rsidRPr="00D9581F">
        <w:t>accessibilité de la réunion</w:t>
      </w:r>
      <w:r w:rsidR="00147F23" w:rsidRPr="00D9581F">
        <w:t>.</w:t>
      </w:r>
    </w:p>
    <w:p w:rsidR="00147F23" w:rsidRPr="00D9581F" w:rsidRDefault="00735C01" w:rsidP="00147F23">
      <w:r w:rsidRPr="00D9581F">
        <w:t xml:space="preserve">Autre exemple : plusieurs gouvernements envisagent de numériser le secteur public, en donnant aux signatures numériques la même </w:t>
      </w:r>
      <w:r w:rsidR="006A6057" w:rsidRPr="00D9581F">
        <w:t>valeur</w:t>
      </w:r>
      <w:r w:rsidRPr="00D9581F">
        <w:t xml:space="preserve"> que les signatures écrites. En tant que citoyen d</w:t>
      </w:r>
      <w:r w:rsidR="00D114B1" w:rsidRPr="00D9581F">
        <w:t>’</w:t>
      </w:r>
      <w:r w:rsidRPr="00D9581F">
        <w:t xml:space="preserve">Estonie, </w:t>
      </w:r>
      <w:r w:rsidR="00402080" w:rsidRPr="00D9581F">
        <w:t xml:space="preserve">un pays qui a instauré </w:t>
      </w:r>
      <w:r w:rsidRPr="00D9581F">
        <w:t>la signature numérique depuis plus de dix ans, la possibilité de vérifier le contenu d</w:t>
      </w:r>
      <w:r w:rsidR="00D114B1" w:rsidRPr="00D9581F">
        <w:t>’</w:t>
      </w:r>
      <w:r w:rsidRPr="00D9581F">
        <w:t xml:space="preserve">un document, de le signer et de vérifier ma signature de manière accessible </w:t>
      </w:r>
      <w:r w:rsidR="00402080" w:rsidRPr="00D9581F">
        <w:t>constitue un</w:t>
      </w:r>
      <w:r w:rsidRPr="00D9581F">
        <w:t xml:space="preserve"> avantage révolutionnaire</w:t>
      </w:r>
      <w:r w:rsidR="00147F23" w:rsidRPr="00D9581F">
        <w:t>.</w:t>
      </w:r>
    </w:p>
    <w:p w:rsidR="00431EE8" w:rsidRPr="00D9581F" w:rsidRDefault="00CB2F9D" w:rsidP="00147F23">
      <w:r w:rsidRPr="00D9581F">
        <w:t>En conclusion, nous ne devons pas considérer la numérisation comme un</w:t>
      </w:r>
      <w:r w:rsidR="00F96518" w:rsidRPr="00D9581F">
        <w:t xml:space="preserve"> facteur négatif.</w:t>
      </w:r>
      <w:r w:rsidRPr="00D9581F">
        <w:t xml:space="preserve"> Les produits professionnels inaccessibles excluent encore beaucoup de personnes </w:t>
      </w:r>
      <w:r w:rsidR="006A6057" w:rsidRPr="00D9581F">
        <w:t>du monde du travail</w:t>
      </w:r>
      <w:r w:rsidRPr="00D9581F">
        <w:t xml:space="preserve">, ce qui </w:t>
      </w:r>
      <w:r w:rsidR="000941BA" w:rsidRPr="00D9581F">
        <w:t xml:space="preserve">doit nous inciter, nous </w:t>
      </w:r>
      <w:r w:rsidRPr="00D9581F">
        <w:t xml:space="preserve">organisations nationales et européennes, </w:t>
      </w:r>
      <w:r w:rsidR="000941BA" w:rsidRPr="00D9581F">
        <w:t>à redoubler d</w:t>
      </w:r>
      <w:r w:rsidR="00D114B1" w:rsidRPr="00D9581F">
        <w:t>’</w:t>
      </w:r>
      <w:r w:rsidR="000941BA" w:rsidRPr="00D9581F">
        <w:t xml:space="preserve">efforts en matière de sensibilisation, et à </w:t>
      </w:r>
      <w:r w:rsidRPr="00D9581F">
        <w:t>fournir</w:t>
      </w:r>
      <w:r w:rsidR="000941BA" w:rsidRPr="00D9581F">
        <w:t xml:space="preserve"> davantage</w:t>
      </w:r>
      <w:r w:rsidR="00D114B1" w:rsidRPr="00D9581F">
        <w:t xml:space="preserve"> </w:t>
      </w:r>
      <w:r w:rsidRPr="00D9581F">
        <w:t>d</w:t>
      </w:r>
      <w:r w:rsidR="00D114B1" w:rsidRPr="00D9581F">
        <w:t>’</w:t>
      </w:r>
      <w:r w:rsidRPr="00D9581F">
        <w:t>informations sur l</w:t>
      </w:r>
      <w:r w:rsidR="000941BA" w:rsidRPr="00D9581F">
        <w:t xml:space="preserve">es besoins et les </w:t>
      </w:r>
      <w:r w:rsidR="006A6057" w:rsidRPr="00D9581F">
        <w:t>informations</w:t>
      </w:r>
      <w:r w:rsidR="000941BA" w:rsidRPr="00D9581F">
        <w:t xml:space="preserve"> en matière </w:t>
      </w:r>
      <w:r w:rsidR="000941BA" w:rsidRPr="00D9581F">
        <w:lastRenderedPageBreak/>
        <w:t>d</w:t>
      </w:r>
      <w:r w:rsidR="00D114B1" w:rsidRPr="00D9581F">
        <w:t>’</w:t>
      </w:r>
      <w:r w:rsidRPr="00D9581F">
        <w:t xml:space="preserve">accessibilité. </w:t>
      </w:r>
      <w:r w:rsidR="0096396B" w:rsidRPr="00D9581F">
        <w:t>En effet,</w:t>
      </w:r>
      <w:r w:rsidRPr="00D9581F">
        <w:t xml:space="preserve"> dès lors qu</w:t>
      </w:r>
      <w:r w:rsidR="00D114B1" w:rsidRPr="00D9581F">
        <w:t>’</w:t>
      </w:r>
      <w:r w:rsidRPr="00D9581F">
        <w:t>un élément devient accessible à tous, la numérisation profite à tous.</w:t>
      </w:r>
    </w:p>
    <w:p w:rsidR="00147F23" w:rsidRPr="00D9581F" w:rsidRDefault="00147F23" w:rsidP="00147F23">
      <w:r w:rsidRPr="00D9581F">
        <w:rPr>
          <w:b/>
        </w:rPr>
        <w:t>Jakob Rosin</w:t>
      </w:r>
      <w:r w:rsidRPr="00D9581F">
        <w:t xml:space="preserve"> </w:t>
      </w:r>
    </w:p>
    <w:p w:rsidR="00147F23" w:rsidRPr="00D9581F" w:rsidRDefault="000103CF" w:rsidP="00147F23">
      <w:r w:rsidRPr="00D9581F">
        <w:t>Union Estonienne des Aveugles</w:t>
      </w:r>
    </w:p>
    <w:p w:rsidR="00ED001C" w:rsidRPr="00D9581F" w:rsidRDefault="00D26707" w:rsidP="006173D4">
      <w:pPr>
        <w:pStyle w:val="Titre2"/>
        <w:rPr>
          <w:lang w:val="fr-FR"/>
        </w:rPr>
      </w:pPr>
      <w:r w:rsidRPr="00D9581F">
        <w:rPr>
          <w:lang w:val="fr-FR"/>
        </w:rPr>
        <w:t>L</w:t>
      </w:r>
      <w:r w:rsidR="00D114B1" w:rsidRPr="00D9581F">
        <w:rPr>
          <w:lang w:val="fr-FR"/>
        </w:rPr>
        <w:t>’</w:t>
      </w:r>
      <w:r w:rsidRPr="00D9581F">
        <w:rPr>
          <w:lang w:val="fr-FR"/>
        </w:rPr>
        <w:t>importance des données statistiques pour les politiques et initiatives liées au handicap</w:t>
      </w:r>
    </w:p>
    <w:p w:rsidR="00147F23" w:rsidRPr="00D9581F" w:rsidRDefault="00057F60" w:rsidP="00147F23">
      <w:r w:rsidRPr="00D9581F">
        <w:t>Les données statistiques constituent l</w:t>
      </w:r>
      <w:r w:rsidR="00D114B1" w:rsidRPr="00D9581F">
        <w:t>’</w:t>
      </w:r>
      <w:r w:rsidRPr="00D9581F">
        <w:t>une des principales sources d</w:t>
      </w:r>
      <w:r w:rsidR="00D114B1" w:rsidRPr="00D9581F">
        <w:t>’</w:t>
      </w:r>
      <w:r w:rsidRPr="00D9581F">
        <w:t>information de la société. La fourniture de statistiques régulières et fiables est un élément clé pour élaborer des politiques efficaces fondées sur des preuves dans n</w:t>
      </w:r>
      <w:r w:rsidR="00D114B1" w:rsidRPr="00D9581F">
        <w:t>’</w:t>
      </w:r>
      <w:r w:rsidRPr="00D9581F">
        <w:t xml:space="preserve">importe quel domaine, ainsi que pour </w:t>
      </w:r>
      <w:r w:rsidR="0037157A" w:rsidRPr="00D9581F">
        <w:t>suivre</w:t>
      </w:r>
      <w:r w:rsidRPr="00D9581F">
        <w:t xml:space="preserve"> la mise en œuvre et </w:t>
      </w:r>
      <w:r w:rsidR="0037157A" w:rsidRPr="00D9581F">
        <w:t>l</w:t>
      </w:r>
      <w:r w:rsidRPr="00D9581F">
        <w:t>es progrès réalisés. L</w:t>
      </w:r>
      <w:r w:rsidR="00D114B1" w:rsidRPr="00D9581F">
        <w:t>’</w:t>
      </w:r>
      <w:r w:rsidRPr="00D9581F">
        <w:t>Union européenne et ses États membres se sont fermement engagés à promouvoir des politiques et des actions visant à améliorer la situation sociale et économique des personnes handicapées.</w:t>
      </w:r>
      <w:r w:rsidR="00147F23" w:rsidRPr="00D9581F">
        <w:t xml:space="preserve"> </w:t>
      </w:r>
    </w:p>
    <w:p w:rsidR="00147F23" w:rsidRPr="00D9581F" w:rsidRDefault="005B3944" w:rsidP="00147F23">
      <w:r w:rsidRPr="00D9581F">
        <w:t>À cet égard, les initiatives clés qui contribueraient à une pleine participation des personnes handicapées à la société, sur la base de l</w:t>
      </w:r>
      <w:r w:rsidR="00D114B1" w:rsidRPr="00D9581F">
        <w:t>’</w:t>
      </w:r>
      <w:r w:rsidRPr="00D9581F">
        <w:t>égalité avec les autres, ont été énoncées dans la stratégie pour les droits des personnes handicapées 2021-2030 adoptée en mars 2021 par la Commission européenne</w:t>
      </w:r>
      <w:r w:rsidR="00147F23" w:rsidRPr="00D9581F">
        <w:t xml:space="preserve">. </w:t>
      </w:r>
    </w:p>
    <w:p w:rsidR="00147F23" w:rsidRPr="00D9581F" w:rsidRDefault="00267681" w:rsidP="00147F23">
      <w:r w:rsidRPr="00D9581F">
        <w:t>Améliorer</w:t>
      </w:r>
      <w:r w:rsidR="00F15932" w:rsidRPr="00D9581F">
        <w:t xml:space="preserve"> la disponibilité et la comparabilité des données sur le handicap </w:t>
      </w:r>
      <w:r w:rsidR="0037157A" w:rsidRPr="00D9581F">
        <w:t>fait partie</w:t>
      </w:r>
      <w:r w:rsidR="00F15932" w:rsidRPr="00D9581F">
        <w:t xml:space="preserve"> de ces initiatives. L</w:t>
      </w:r>
      <w:r w:rsidR="00D114B1" w:rsidRPr="00D9581F">
        <w:t>’</w:t>
      </w:r>
      <w:r w:rsidR="00F15932" w:rsidRPr="00D9581F">
        <w:t>objectif est de disposer d</w:t>
      </w:r>
      <w:r w:rsidR="00D114B1" w:rsidRPr="00D9581F">
        <w:t>’</w:t>
      </w:r>
      <w:r w:rsidR="00F15932" w:rsidRPr="00D9581F">
        <w:t xml:space="preserve">une ventilation du handicap dans toutes les collectes de données statistiques existantes qui </w:t>
      </w:r>
      <w:r w:rsidR="000E1910" w:rsidRPr="00D9581F">
        <w:t>concernent les</w:t>
      </w:r>
      <w:r w:rsidR="00F15932" w:rsidRPr="00D9581F">
        <w:t xml:space="preserve"> personnes et </w:t>
      </w:r>
      <w:r w:rsidR="000E1910" w:rsidRPr="00D9581F">
        <w:t xml:space="preserve">les </w:t>
      </w:r>
      <w:r w:rsidR="00F15932" w:rsidRPr="00D9581F">
        <w:t>ménages. Cela permettra d</w:t>
      </w:r>
      <w:r w:rsidR="00D114B1" w:rsidRPr="00D9581F">
        <w:t>’</w:t>
      </w:r>
      <w:r w:rsidR="00F15932" w:rsidRPr="00D9581F">
        <w:t>analyser la situation des personnes handicapées dans divers aspects de la vie, d</w:t>
      </w:r>
      <w:r w:rsidR="00D114B1" w:rsidRPr="00D9581F">
        <w:t>’</w:t>
      </w:r>
      <w:r w:rsidR="00F15932" w:rsidRPr="00D9581F">
        <w:t>identifier les obstacles dans l</w:t>
      </w:r>
      <w:r w:rsidR="00D114B1" w:rsidRPr="00D9581F">
        <w:t>’</w:t>
      </w:r>
      <w:r w:rsidR="00F15932" w:rsidRPr="00D9581F">
        <w:t>environnement économique et social qui empêchent les personnes handicapées d</w:t>
      </w:r>
      <w:r w:rsidR="00D114B1" w:rsidRPr="00D9581F">
        <w:t>’</w:t>
      </w:r>
      <w:r w:rsidR="00F15932" w:rsidRPr="00D9581F">
        <w:t>exercer leurs capacités, ainsi que de bénéficier de l</w:t>
      </w:r>
      <w:r w:rsidR="00D114B1" w:rsidRPr="00D9581F">
        <w:t>’</w:t>
      </w:r>
      <w:r w:rsidR="00F15932" w:rsidRPr="00D9581F">
        <w:t>égalité des chances et de la pleine participation dans tous les aspects de la vie</w:t>
      </w:r>
      <w:r w:rsidR="00147F23" w:rsidRPr="00D9581F">
        <w:t xml:space="preserve">. </w:t>
      </w:r>
    </w:p>
    <w:p w:rsidR="00147F23" w:rsidRPr="00D9581F" w:rsidRDefault="00F15932" w:rsidP="00147F23">
      <w:r w:rsidRPr="00D9581F">
        <w:t>Par exemple, de nombreuses politiques économiques et sociales s</w:t>
      </w:r>
      <w:r w:rsidR="00D114B1" w:rsidRPr="00D9581F">
        <w:t>’</w:t>
      </w:r>
      <w:r w:rsidRPr="00D9581F">
        <w:t>appuient sur les données statistiques fournies par l</w:t>
      </w:r>
      <w:r w:rsidR="00D114B1" w:rsidRPr="00D9581F">
        <w:t>’</w:t>
      </w:r>
      <w:r w:rsidRPr="00D9581F">
        <w:t>enquête européenne sur les forces de travail (</w:t>
      </w:r>
      <w:r w:rsidR="00534464" w:rsidRPr="00D9581F">
        <w:t>EFT</w:t>
      </w:r>
      <w:r w:rsidRPr="00D9581F">
        <w:t>). L</w:t>
      </w:r>
      <w:r w:rsidR="00D114B1" w:rsidRPr="00D9581F">
        <w:t>’</w:t>
      </w:r>
      <w:r w:rsidRPr="00D9581F">
        <w:t>inclusion d</w:t>
      </w:r>
      <w:r w:rsidR="00D114B1" w:rsidRPr="00D9581F">
        <w:t>’</w:t>
      </w:r>
      <w:r w:rsidRPr="00D9581F">
        <w:t xml:space="preserve">une ventilation par handicap dans </w:t>
      </w:r>
      <w:r w:rsidR="00534464" w:rsidRPr="00D9581F">
        <w:t>l’</w:t>
      </w:r>
      <w:r w:rsidRPr="00D9581F">
        <w:t xml:space="preserve">EFT </w:t>
      </w:r>
      <w:r w:rsidR="00534464" w:rsidRPr="00D9581F">
        <w:t xml:space="preserve">de l’UE </w:t>
      </w:r>
      <w:r w:rsidRPr="00D9581F">
        <w:t xml:space="preserve">à partir de 2022 permettra non seulement de </w:t>
      </w:r>
      <w:r w:rsidR="00534464" w:rsidRPr="00D9581F">
        <w:t>suivre</w:t>
      </w:r>
      <w:r w:rsidRPr="00D9581F">
        <w:t xml:space="preserve"> les progrès en matière de participation des personnes handicapées au marché du travail, mais aussi </w:t>
      </w:r>
      <w:r w:rsidR="00534464" w:rsidRPr="00D9581F">
        <w:t xml:space="preserve">d’avoir une vision concernant </w:t>
      </w:r>
      <w:r w:rsidRPr="00D9581F">
        <w:t>leurs niveaux d</w:t>
      </w:r>
      <w:r w:rsidR="00D114B1" w:rsidRPr="00D9581F">
        <w:t>’</w:t>
      </w:r>
      <w:r w:rsidRPr="00D9581F">
        <w:t>éducation et de formation ou leur milieu socio-économique</w:t>
      </w:r>
      <w:r w:rsidR="00147F23" w:rsidRPr="00D9581F">
        <w:t xml:space="preserve">. </w:t>
      </w:r>
    </w:p>
    <w:p w:rsidR="00147F23" w:rsidRPr="00D9581F" w:rsidRDefault="009707E4" w:rsidP="00147F23">
      <w:r w:rsidRPr="00D9581F">
        <w:t>Les données existantes dans les statistiques de l</w:t>
      </w:r>
      <w:r w:rsidR="00D114B1" w:rsidRPr="00D9581F">
        <w:t>’</w:t>
      </w:r>
      <w:r w:rsidRPr="00D9581F">
        <w:t>UE sur le revenu et les conditions de vie (SILC) montrent que la situation des personnes handicapées dans des domaines tels que l</w:t>
      </w:r>
      <w:r w:rsidR="00D114B1" w:rsidRPr="00D9581F">
        <w:t>’</w:t>
      </w:r>
      <w:r w:rsidRPr="00D9581F">
        <w:t xml:space="preserve">emploi, la pauvreté et </w:t>
      </w:r>
      <w:r w:rsidRPr="00D9581F">
        <w:lastRenderedPageBreak/>
        <w:t>l</w:t>
      </w:r>
      <w:r w:rsidR="00D114B1" w:rsidRPr="00D9581F">
        <w:t>’</w:t>
      </w:r>
      <w:r w:rsidRPr="00D9581F">
        <w:t>exclusion sociale est constamment et considérablement plus mauvaise que celle des personnes non handicapées</w:t>
      </w:r>
      <w:r w:rsidR="00147F23" w:rsidRPr="00D9581F">
        <w:t xml:space="preserve">. </w:t>
      </w:r>
    </w:p>
    <w:p w:rsidR="00147F23" w:rsidRPr="00D9581F" w:rsidRDefault="00266DCF" w:rsidP="00147F23">
      <w:r w:rsidRPr="00D9581F">
        <w:t>Si l</w:t>
      </w:r>
      <w:r w:rsidR="00D114B1" w:rsidRPr="00D9581F">
        <w:t>’</w:t>
      </w:r>
      <w:r w:rsidRPr="00D9581F">
        <w:t>on considère l</w:t>
      </w:r>
      <w:r w:rsidR="00D9581F" w:rsidRPr="00D9581F">
        <w:t xml:space="preserve">e principal </w:t>
      </w:r>
      <w:r w:rsidRPr="00D9581F">
        <w:t>indicateur du marché du travail,</w:t>
      </w:r>
      <w:r w:rsidR="00D9581F" w:rsidRPr="00D9581F">
        <w:t xml:space="preserve"> à savoir l</w:t>
      </w:r>
      <w:r w:rsidRPr="00D9581F">
        <w:t>e taux d</w:t>
      </w:r>
      <w:r w:rsidR="00D114B1" w:rsidRPr="00D9581F">
        <w:t>’</w:t>
      </w:r>
      <w:r w:rsidRPr="00D9581F">
        <w:t>emploi, l</w:t>
      </w:r>
      <w:r w:rsidR="00D114B1" w:rsidRPr="00D9581F">
        <w:t>’</w:t>
      </w:r>
      <w:r w:rsidRPr="00D9581F">
        <w:t>écart d</w:t>
      </w:r>
      <w:r w:rsidR="00D114B1" w:rsidRPr="00D9581F">
        <w:t>’</w:t>
      </w:r>
      <w:r w:rsidRPr="00D9581F">
        <w:t>emploi des personnes handicapées (c</w:t>
      </w:r>
      <w:r w:rsidR="00D114B1" w:rsidRPr="00D9581F">
        <w:t>’</w:t>
      </w:r>
      <w:r w:rsidRPr="00D9581F">
        <w:t>est-à-dire la différence entre les taux d</w:t>
      </w:r>
      <w:r w:rsidR="00D114B1" w:rsidRPr="00D9581F">
        <w:t>’</w:t>
      </w:r>
      <w:r w:rsidRPr="00D9581F">
        <w:t>emploi des personnes âgées de 20 à 64 ans avec et sans handicap) affiche une légère augmentation au cours de la période 2014 à 2020 à l</w:t>
      </w:r>
      <w:r w:rsidR="00D114B1" w:rsidRPr="00D9581F">
        <w:t>’</w:t>
      </w:r>
      <w:r w:rsidRPr="00D9581F">
        <w:t>échelle de l</w:t>
      </w:r>
      <w:r w:rsidR="00D114B1" w:rsidRPr="00D9581F">
        <w:t>’</w:t>
      </w:r>
      <w:r w:rsidRPr="00D9581F">
        <w:t>UE : de 22,7 points de pourcentage à 24,5 points de pourcentage. Le taux d</w:t>
      </w:r>
      <w:r w:rsidR="00D114B1" w:rsidRPr="00D9581F">
        <w:t>’</w:t>
      </w:r>
      <w:r w:rsidRPr="00D9581F">
        <w:t xml:space="preserve">emploi le plus élevé pour les deux catégories de personnes a été </w:t>
      </w:r>
      <w:r w:rsidR="00D9581F" w:rsidRPr="00D9581F">
        <w:t>relevé</w:t>
      </w:r>
      <w:r w:rsidRPr="00D9581F">
        <w:t xml:space="preserve"> en 2020 en Estonie : 65,7</w:t>
      </w:r>
      <w:r w:rsidR="00643147" w:rsidRPr="00D9581F">
        <w:t> </w:t>
      </w:r>
      <w:r w:rsidRPr="00D9581F">
        <w:t>% pour le</w:t>
      </w:r>
      <w:r w:rsidR="00643147" w:rsidRPr="00D9581F">
        <w:t xml:space="preserve">s personnes handicapées </w:t>
      </w:r>
      <w:r w:rsidR="001F43F7" w:rsidRPr="00D9581F">
        <w:t xml:space="preserve">contre </w:t>
      </w:r>
      <w:r w:rsidR="00643147" w:rsidRPr="00D9581F">
        <w:t>86,3 </w:t>
      </w:r>
      <w:r w:rsidRPr="00D9581F">
        <w:t>% pour les personnes non handicapées</w:t>
      </w:r>
      <w:r w:rsidR="00147F23" w:rsidRPr="00D9581F">
        <w:t>.</w:t>
      </w:r>
    </w:p>
    <w:p w:rsidR="00147F23" w:rsidRPr="00D9581F" w:rsidRDefault="00275370" w:rsidP="00147F23">
      <w:r w:rsidRPr="00D9581F">
        <w:t>Lors de la présentation des données sur le handicap, il est important de reconnaître les défis que ce concept pose en termes de collecte de données. Le handicap est un terme générique qui recouvre différents concepts tels que la déficience, la limitation des activités et les restrictions de participation. Sa complexité et son caractère multidimensionnel font q</w:t>
      </w:r>
      <w:r w:rsidR="00EB3C6B" w:rsidRPr="00D9581F">
        <w:t>u’il est nécessaire de prendre en compte</w:t>
      </w:r>
      <w:r w:rsidRPr="00D9581F">
        <w:t xml:space="preserve"> de nombreux aspects</w:t>
      </w:r>
      <w:r w:rsidR="00EB3C6B" w:rsidRPr="00D9581F">
        <w:t xml:space="preserve"> pour le mesurer</w:t>
      </w:r>
      <w:r w:rsidRPr="00D9581F">
        <w:t>. Par conséquent, l</w:t>
      </w:r>
      <w:r w:rsidR="00D114B1" w:rsidRPr="00D9581F">
        <w:t>’</w:t>
      </w:r>
      <w:r w:rsidRPr="00D9581F">
        <w:t xml:space="preserve">identification des personnes handicapées dans les enquêtes est une tâche difficile qui nécessite de faire des compromis quant à la définition du handicap à utiliser, principalement parce que </w:t>
      </w:r>
      <w:r w:rsidR="00920D65" w:rsidRPr="00D9581F">
        <w:t xml:space="preserve">la mise en œuvre opérationnelle </w:t>
      </w:r>
      <w:r w:rsidRPr="00D9581F">
        <w:t xml:space="preserve">du concept de handicap ne peut pas être la même dans les enquêtes sociales non dédiées et dans les enquêtes dédiées où un ensemble étendu de questions peut être utilisé. </w:t>
      </w:r>
      <w:r w:rsidR="00920D65" w:rsidRPr="00D9581F">
        <w:t xml:space="preserve">Il en résulte que </w:t>
      </w:r>
      <w:r w:rsidRPr="00D9581F">
        <w:t>le handicap est mesuré de différentes manières dans les diverses enquêtes et que les estimations ne sont pas toujours comparables</w:t>
      </w:r>
      <w:r w:rsidR="00147F23" w:rsidRPr="00D9581F">
        <w:t xml:space="preserve">. </w:t>
      </w:r>
    </w:p>
    <w:p w:rsidR="002A509B" w:rsidRPr="00D9581F" w:rsidRDefault="00147F23" w:rsidP="00147F23">
      <w:pPr>
        <w:rPr>
          <w:szCs w:val="28"/>
        </w:rPr>
      </w:pPr>
      <w:r w:rsidRPr="00D9581F">
        <w:rPr>
          <w:b/>
        </w:rPr>
        <w:t>Lucian Agafitei</w:t>
      </w:r>
      <w:r w:rsidRPr="00D9581F">
        <w:t xml:space="preserve">, </w:t>
      </w:r>
      <w:r w:rsidR="00920D65" w:rsidRPr="00D9581F">
        <w:t xml:space="preserve">Assistant statistique, Eurostat Unité F4 - Revenu et conditions de vie ; </w:t>
      </w:r>
      <w:r w:rsidR="00EB3C6B" w:rsidRPr="00D9581F">
        <w:t>Qualité de vie</w:t>
      </w:r>
    </w:p>
    <w:p w:rsidR="00083785" w:rsidRPr="00D9581F" w:rsidRDefault="00920D65" w:rsidP="00083785">
      <w:pPr>
        <w:rPr>
          <w:szCs w:val="28"/>
          <w:lang w:val="en-GB"/>
        </w:rPr>
      </w:pPr>
      <w:r w:rsidRPr="00D9581F">
        <w:rPr>
          <w:szCs w:val="28"/>
          <w:lang w:val="en-GB"/>
        </w:rPr>
        <w:t>FIN</w:t>
      </w:r>
    </w:p>
    <w:p w:rsidR="00083785" w:rsidRPr="00D9581F" w:rsidRDefault="00083785" w:rsidP="00083785">
      <w:pPr>
        <w:jc w:val="center"/>
        <w:rPr>
          <w:b/>
          <w:color w:val="003D82"/>
          <w:lang w:val="en-GB"/>
        </w:rPr>
      </w:pPr>
      <w:r w:rsidRPr="00D9581F">
        <w:rPr>
          <w:b/>
          <w:color w:val="003D82"/>
          <w:lang w:val="en-GB"/>
        </w:rPr>
        <w:t>European Blind Union</w:t>
      </w:r>
    </w:p>
    <w:p w:rsidR="00083785" w:rsidRPr="00D9581F" w:rsidRDefault="00083785" w:rsidP="00083785">
      <w:pPr>
        <w:jc w:val="center"/>
        <w:rPr>
          <w:color w:val="003D82"/>
          <w:lang w:val="en-GB"/>
        </w:rPr>
      </w:pPr>
      <w:r w:rsidRPr="00D9581F">
        <w:rPr>
          <w:color w:val="003D82"/>
          <w:lang w:val="en-GB"/>
        </w:rPr>
        <w:t>6 rue Gager Gabillot, 75015 Paris, France</w:t>
      </w:r>
    </w:p>
    <w:p w:rsidR="001D2A77" w:rsidRPr="002A509B" w:rsidRDefault="00083785" w:rsidP="00CB66D6">
      <w:pPr>
        <w:jc w:val="center"/>
        <w:rPr>
          <w:color w:val="003D82"/>
          <w:lang w:val="en-GB"/>
        </w:rPr>
      </w:pPr>
      <w:r w:rsidRPr="00D9581F">
        <w:rPr>
          <w:color w:val="003D82"/>
          <w:lang w:val="en-GB"/>
        </w:rPr>
        <w:t xml:space="preserve">+33 1 88 61 06 60 | </w:t>
      </w:r>
      <w:hyperlink r:id="rId13" w:history="1">
        <w:r w:rsidRPr="00D9581F">
          <w:rPr>
            <w:color w:val="003D82"/>
            <w:lang w:val="en-GB"/>
          </w:rPr>
          <w:t>ebu@euroblind.org</w:t>
        </w:r>
      </w:hyperlink>
      <w:r w:rsidRPr="00D9581F">
        <w:rPr>
          <w:color w:val="003D82"/>
          <w:lang w:val="en-GB"/>
        </w:rPr>
        <w:t xml:space="preserve"> | </w:t>
      </w:r>
      <w:hyperlink r:id="rId14" w:history="1">
        <w:r w:rsidRPr="00D9581F">
          <w:rPr>
            <w:color w:val="003D82"/>
            <w:lang w:val="en-GB"/>
          </w:rPr>
          <w:t>www.euroblind.org</w:t>
        </w:r>
      </w:hyperlink>
    </w:p>
    <w:sectPr w:rsidR="001D2A77" w:rsidRPr="002A5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04387"/>
    <w:multiLevelType w:val="hybridMultilevel"/>
    <w:tmpl w:val="C108DB8E"/>
    <w:lvl w:ilvl="0" w:tplc="3B0206A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A2379B"/>
    <w:multiLevelType w:val="hybridMultilevel"/>
    <w:tmpl w:val="F4E46760"/>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94923"/>
    <w:multiLevelType w:val="hybridMultilevel"/>
    <w:tmpl w:val="90F0C0EA"/>
    <w:lvl w:ilvl="0" w:tplc="E3E8CFDE">
      <w:start w:val="1"/>
      <w:numFmt w:val="decimal"/>
      <w:lvlText w:val="%1."/>
      <w:lvlJc w:val="left"/>
      <w:pPr>
        <w:ind w:left="720" w:hanging="360"/>
      </w:pPr>
      <w:rPr>
        <w:rFonts w:ascii="Arial" w:hAnsi="Arial"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19"/>
  </w:num>
  <w:num w:numId="5">
    <w:abstractNumId w:val="14"/>
  </w:num>
  <w:num w:numId="6">
    <w:abstractNumId w:val="27"/>
  </w:num>
  <w:num w:numId="7">
    <w:abstractNumId w:val="13"/>
  </w:num>
  <w:num w:numId="8">
    <w:abstractNumId w:val="6"/>
  </w:num>
  <w:num w:numId="9">
    <w:abstractNumId w:val="23"/>
  </w:num>
  <w:num w:numId="10">
    <w:abstractNumId w:val="24"/>
  </w:num>
  <w:num w:numId="11">
    <w:abstractNumId w:val="4"/>
  </w:num>
  <w:num w:numId="12">
    <w:abstractNumId w:val="28"/>
  </w:num>
  <w:num w:numId="13">
    <w:abstractNumId w:val="1"/>
  </w:num>
  <w:num w:numId="14">
    <w:abstractNumId w:val="10"/>
  </w:num>
  <w:num w:numId="15">
    <w:abstractNumId w:val="9"/>
  </w:num>
  <w:num w:numId="16">
    <w:abstractNumId w:val="21"/>
  </w:num>
  <w:num w:numId="17">
    <w:abstractNumId w:val="18"/>
  </w:num>
  <w:num w:numId="18">
    <w:abstractNumId w:val="2"/>
  </w:num>
  <w:num w:numId="19">
    <w:abstractNumId w:val="11"/>
  </w:num>
  <w:num w:numId="20">
    <w:abstractNumId w:val="30"/>
  </w:num>
  <w:num w:numId="21">
    <w:abstractNumId w:val="12"/>
  </w:num>
  <w:num w:numId="22">
    <w:abstractNumId w:val="20"/>
  </w:num>
  <w:num w:numId="23">
    <w:abstractNumId w:val="7"/>
  </w:num>
  <w:num w:numId="24">
    <w:abstractNumId w:val="26"/>
  </w:num>
  <w:num w:numId="25">
    <w:abstractNumId w:val="17"/>
  </w:num>
  <w:num w:numId="26">
    <w:abstractNumId w:val="29"/>
  </w:num>
  <w:num w:numId="27">
    <w:abstractNumId w:val="15"/>
  </w:num>
  <w:num w:numId="28">
    <w:abstractNumId w:val="16"/>
  </w:num>
  <w:num w:numId="29">
    <w:abstractNumId w:val="3"/>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AE"/>
    <w:rsid w:val="000103CF"/>
    <w:rsid w:val="000110D0"/>
    <w:rsid w:val="00012E8B"/>
    <w:rsid w:val="000157E7"/>
    <w:rsid w:val="000305EF"/>
    <w:rsid w:val="000306B9"/>
    <w:rsid w:val="0003129D"/>
    <w:rsid w:val="00057F60"/>
    <w:rsid w:val="00060120"/>
    <w:rsid w:val="0006054C"/>
    <w:rsid w:val="000668AD"/>
    <w:rsid w:val="00067666"/>
    <w:rsid w:val="000723AE"/>
    <w:rsid w:val="000733F5"/>
    <w:rsid w:val="00083785"/>
    <w:rsid w:val="00090CA8"/>
    <w:rsid w:val="000941BA"/>
    <w:rsid w:val="000A4B35"/>
    <w:rsid w:val="000A5776"/>
    <w:rsid w:val="000A614C"/>
    <w:rsid w:val="000A6C78"/>
    <w:rsid w:val="000B4413"/>
    <w:rsid w:val="000B7556"/>
    <w:rsid w:val="000C365C"/>
    <w:rsid w:val="000D0550"/>
    <w:rsid w:val="000D536C"/>
    <w:rsid w:val="000E0C1A"/>
    <w:rsid w:val="000E1910"/>
    <w:rsid w:val="000E645C"/>
    <w:rsid w:val="000F03DD"/>
    <w:rsid w:val="001005D7"/>
    <w:rsid w:val="001056FF"/>
    <w:rsid w:val="00112FE9"/>
    <w:rsid w:val="00134290"/>
    <w:rsid w:val="00147F23"/>
    <w:rsid w:val="00157578"/>
    <w:rsid w:val="00157770"/>
    <w:rsid w:val="00162B13"/>
    <w:rsid w:val="0017703B"/>
    <w:rsid w:val="001910A4"/>
    <w:rsid w:val="001957C4"/>
    <w:rsid w:val="001A3AF6"/>
    <w:rsid w:val="001A43EB"/>
    <w:rsid w:val="001B05C9"/>
    <w:rsid w:val="001B1F6F"/>
    <w:rsid w:val="001D2A77"/>
    <w:rsid w:val="001E707C"/>
    <w:rsid w:val="001E7784"/>
    <w:rsid w:val="001F41AF"/>
    <w:rsid w:val="001F43F7"/>
    <w:rsid w:val="001F7B4B"/>
    <w:rsid w:val="002149AF"/>
    <w:rsid w:val="002156ED"/>
    <w:rsid w:val="0022297A"/>
    <w:rsid w:val="0024636B"/>
    <w:rsid w:val="0026200C"/>
    <w:rsid w:val="00264092"/>
    <w:rsid w:val="00266DCF"/>
    <w:rsid w:val="00267681"/>
    <w:rsid w:val="00275370"/>
    <w:rsid w:val="00281F69"/>
    <w:rsid w:val="00286164"/>
    <w:rsid w:val="00286C5C"/>
    <w:rsid w:val="00287151"/>
    <w:rsid w:val="002A509B"/>
    <w:rsid w:val="002B2172"/>
    <w:rsid w:val="002B7927"/>
    <w:rsid w:val="002C158D"/>
    <w:rsid w:val="002C4C6A"/>
    <w:rsid w:val="00347DC3"/>
    <w:rsid w:val="00356266"/>
    <w:rsid w:val="0037157A"/>
    <w:rsid w:val="003832BD"/>
    <w:rsid w:val="00383C99"/>
    <w:rsid w:val="00396576"/>
    <w:rsid w:val="003A0A35"/>
    <w:rsid w:val="003B6B66"/>
    <w:rsid w:val="003D0E70"/>
    <w:rsid w:val="003D38DE"/>
    <w:rsid w:val="003E7D5D"/>
    <w:rsid w:val="003F31B5"/>
    <w:rsid w:val="003F4BB0"/>
    <w:rsid w:val="00402080"/>
    <w:rsid w:val="00411C73"/>
    <w:rsid w:val="004179FB"/>
    <w:rsid w:val="00431EE8"/>
    <w:rsid w:val="004360DC"/>
    <w:rsid w:val="00455FC0"/>
    <w:rsid w:val="0046051E"/>
    <w:rsid w:val="00460B3D"/>
    <w:rsid w:val="00471E1B"/>
    <w:rsid w:val="00472C7E"/>
    <w:rsid w:val="004765EC"/>
    <w:rsid w:val="00480132"/>
    <w:rsid w:val="00481EB4"/>
    <w:rsid w:val="00490A29"/>
    <w:rsid w:val="00495736"/>
    <w:rsid w:val="004975B6"/>
    <w:rsid w:val="004A32D1"/>
    <w:rsid w:val="004A4D7E"/>
    <w:rsid w:val="004B68E9"/>
    <w:rsid w:val="004E6565"/>
    <w:rsid w:val="004E6DC4"/>
    <w:rsid w:val="004F7C4B"/>
    <w:rsid w:val="0050283B"/>
    <w:rsid w:val="00505F91"/>
    <w:rsid w:val="005060DC"/>
    <w:rsid w:val="005102FC"/>
    <w:rsid w:val="00512E9A"/>
    <w:rsid w:val="00513965"/>
    <w:rsid w:val="00515A99"/>
    <w:rsid w:val="005231F7"/>
    <w:rsid w:val="005278EF"/>
    <w:rsid w:val="00532246"/>
    <w:rsid w:val="00534464"/>
    <w:rsid w:val="00564901"/>
    <w:rsid w:val="0059078C"/>
    <w:rsid w:val="00594BF7"/>
    <w:rsid w:val="005A3C94"/>
    <w:rsid w:val="005A6331"/>
    <w:rsid w:val="005A7643"/>
    <w:rsid w:val="005B3944"/>
    <w:rsid w:val="005C0871"/>
    <w:rsid w:val="005D1062"/>
    <w:rsid w:val="005D462E"/>
    <w:rsid w:val="00600105"/>
    <w:rsid w:val="006055F5"/>
    <w:rsid w:val="0060610F"/>
    <w:rsid w:val="006173D4"/>
    <w:rsid w:val="00617A6B"/>
    <w:rsid w:val="0062366C"/>
    <w:rsid w:val="00624112"/>
    <w:rsid w:val="0062726F"/>
    <w:rsid w:val="00627292"/>
    <w:rsid w:val="006371AB"/>
    <w:rsid w:val="00643147"/>
    <w:rsid w:val="00652CB9"/>
    <w:rsid w:val="00660F7D"/>
    <w:rsid w:val="00686426"/>
    <w:rsid w:val="00693BB0"/>
    <w:rsid w:val="006A5CEE"/>
    <w:rsid w:val="006A5D3A"/>
    <w:rsid w:val="006A6057"/>
    <w:rsid w:val="006C4CA5"/>
    <w:rsid w:val="006C5892"/>
    <w:rsid w:val="006D0615"/>
    <w:rsid w:val="006D25D4"/>
    <w:rsid w:val="006E3D4B"/>
    <w:rsid w:val="006E52E0"/>
    <w:rsid w:val="006E6F2A"/>
    <w:rsid w:val="006F7B89"/>
    <w:rsid w:val="0070056C"/>
    <w:rsid w:val="007316AE"/>
    <w:rsid w:val="00735C01"/>
    <w:rsid w:val="00756DF2"/>
    <w:rsid w:val="00761586"/>
    <w:rsid w:val="00762422"/>
    <w:rsid w:val="00775E86"/>
    <w:rsid w:val="00776DB0"/>
    <w:rsid w:val="00780B47"/>
    <w:rsid w:val="007A74C4"/>
    <w:rsid w:val="007A76B4"/>
    <w:rsid w:val="007C27E5"/>
    <w:rsid w:val="007C7E82"/>
    <w:rsid w:val="007D3D81"/>
    <w:rsid w:val="007E2065"/>
    <w:rsid w:val="007F7BA4"/>
    <w:rsid w:val="00813250"/>
    <w:rsid w:val="00833F61"/>
    <w:rsid w:val="0084267E"/>
    <w:rsid w:val="00856336"/>
    <w:rsid w:val="00863863"/>
    <w:rsid w:val="00864B3E"/>
    <w:rsid w:val="00870763"/>
    <w:rsid w:val="008760A9"/>
    <w:rsid w:val="00885DF2"/>
    <w:rsid w:val="008877EB"/>
    <w:rsid w:val="00894140"/>
    <w:rsid w:val="00894EE0"/>
    <w:rsid w:val="008B031C"/>
    <w:rsid w:val="008B767D"/>
    <w:rsid w:val="008E002A"/>
    <w:rsid w:val="008E1584"/>
    <w:rsid w:val="008F10FE"/>
    <w:rsid w:val="008F2EAA"/>
    <w:rsid w:val="008F4AAC"/>
    <w:rsid w:val="008F5627"/>
    <w:rsid w:val="008F628C"/>
    <w:rsid w:val="008F7DB4"/>
    <w:rsid w:val="00900ECD"/>
    <w:rsid w:val="00905781"/>
    <w:rsid w:val="00913748"/>
    <w:rsid w:val="00920D65"/>
    <w:rsid w:val="0092498D"/>
    <w:rsid w:val="009628D1"/>
    <w:rsid w:val="0096396B"/>
    <w:rsid w:val="00970581"/>
    <w:rsid w:val="009707E4"/>
    <w:rsid w:val="009B414A"/>
    <w:rsid w:val="009B7F6C"/>
    <w:rsid w:val="009D458A"/>
    <w:rsid w:val="00A123AF"/>
    <w:rsid w:val="00A224D4"/>
    <w:rsid w:val="00A24278"/>
    <w:rsid w:val="00A277CE"/>
    <w:rsid w:val="00A45FBA"/>
    <w:rsid w:val="00A51DAB"/>
    <w:rsid w:val="00A574B5"/>
    <w:rsid w:val="00A641E8"/>
    <w:rsid w:val="00A67DFF"/>
    <w:rsid w:val="00A77C17"/>
    <w:rsid w:val="00A905B6"/>
    <w:rsid w:val="00AA0EE3"/>
    <w:rsid w:val="00AA4B54"/>
    <w:rsid w:val="00AC64C1"/>
    <w:rsid w:val="00AD5B55"/>
    <w:rsid w:val="00AE0793"/>
    <w:rsid w:val="00AF2AD5"/>
    <w:rsid w:val="00B01E8B"/>
    <w:rsid w:val="00B023EC"/>
    <w:rsid w:val="00B12312"/>
    <w:rsid w:val="00B1270A"/>
    <w:rsid w:val="00B12BAA"/>
    <w:rsid w:val="00B272EC"/>
    <w:rsid w:val="00B35603"/>
    <w:rsid w:val="00B35DCB"/>
    <w:rsid w:val="00B3707B"/>
    <w:rsid w:val="00B403E2"/>
    <w:rsid w:val="00B437AA"/>
    <w:rsid w:val="00B457A3"/>
    <w:rsid w:val="00B45814"/>
    <w:rsid w:val="00B46FC2"/>
    <w:rsid w:val="00B51AED"/>
    <w:rsid w:val="00B578E9"/>
    <w:rsid w:val="00B94034"/>
    <w:rsid w:val="00BA6BE5"/>
    <w:rsid w:val="00BB082B"/>
    <w:rsid w:val="00BB13B3"/>
    <w:rsid w:val="00BB1C1E"/>
    <w:rsid w:val="00BB28F0"/>
    <w:rsid w:val="00BC09D7"/>
    <w:rsid w:val="00BC2C23"/>
    <w:rsid w:val="00BE21E6"/>
    <w:rsid w:val="00BE4315"/>
    <w:rsid w:val="00BF6980"/>
    <w:rsid w:val="00C13DEB"/>
    <w:rsid w:val="00C14506"/>
    <w:rsid w:val="00C30085"/>
    <w:rsid w:val="00C3556A"/>
    <w:rsid w:val="00C41781"/>
    <w:rsid w:val="00C47262"/>
    <w:rsid w:val="00C56903"/>
    <w:rsid w:val="00C60ACB"/>
    <w:rsid w:val="00C62A41"/>
    <w:rsid w:val="00C62AE8"/>
    <w:rsid w:val="00C76057"/>
    <w:rsid w:val="00C7717C"/>
    <w:rsid w:val="00CA2A21"/>
    <w:rsid w:val="00CA3345"/>
    <w:rsid w:val="00CA63D5"/>
    <w:rsid w:val="00CB2F9D"/>
    <w:rsid w:val="00CB66D6"/>
    <w:rsid w:val="00CB7126"/>
    <w:rsid w:val="00CC2255"/>
    <w:rsid w:val="00CC2D6B"/>
    <w:rsid w:val="00CD1EE6"/>
    <w:rsid w:val="00CD706D"/>
    <w:rsid w:val="00D00ED6"/>
    <w:rsid w:val="00D114B1"/>
    <w:rsid w:val="00D26707"/>
    <w:rsid w:val="00D34C07"/>
    <w:rsid w:val="00D5506C"/>
    <w:rsid w:val="00D57E58"/>
    <w:rsid w:val="00D7280E"/>
    <w:rsid w:val="00D74DE6"/>
    <w:rsid w:val="00D8318D"/>
    <w:rsid w:val="00D84BAD"/>
    <w:rsid w:val="00D90747"/>
    <w:rsid w:val="00D9581F"/>
    <w:rsid w:val="00DA0F5D"/>
    <w:rsid w:val="00DB0D1D"/>
    <w:rsid w:val="00DD054B"/>
    <w:rsid w:val="00DD1425"/>
    <w:rsid w:val="00DD20ED"/>
    <w:rsid w:val="00DD4825"/>
    <w:rsid w:val="00DE79D4"/>
    <w:rsid w:val="00DF1C29"/>
    <w:rsid w:val="00E02059"/>
    <w:rsid w:val="00E12F3A"/>
    <w:rsid w:val="00E16AF9"/>
    <w:rsid w:val="00E235D4"/>
    <w:rsid w:val="00E23E3F"/>
    <w:rsid w:val="00E57363"/>
    <w:rsid w:val="00E755DF"/>
    <w:rsid w:val="00E85340"/>
    <w:rsid w:val="00E90558"/>
    <w:rsid w:val="00E913A0"/>
    <w:rsid w:val="00E915EB"/>
    <w:rsid w:val="00E92147"/>
    <w:rsid w:val="00EB20E8"/>
    <w:rsid w:val="00EB3C6B"/>
    <w:rsid w:val="00ED001C"/>
    <w:rsid w:val="00EE337E"/>
    <w:rsid w:val="00EF2096"/>
    <w:rsid w:val="00F01733"/>
    <w:rsid w:val="00F060A1"/>
    <w:rsid w:val="00F15932"/>
    <w:rsid w:val="00F17DB7"/>
    <w:rsid w:val="00F24D3B"/>
    <w:rsid w:val="00F273F4"/>
    <w:rsid w:val="00F35A2A"/>
    <w:rsid w:val="00F40702"/>
    <w:rsid w:val="00F43E3B"/>
    <w:rsid w:val="00F44C5D"/>
    <w:rsid w:val="00F53C17"/>
    <w:rsid w:val="00F5588C"/>
    <w:rsid w:val="00F5765F"/>
    <w:rsid w:val="00F6266B"/>
    <w:rsid w:val="00F71AB5"/>
    <w:rsid w:val="00F82EBB"/>
    <w:rsid w:val="00F84448"/>
    <w:rsid w:val="00F87A25"/>
    <w:rsid w:val="00F926E5"/>
    <w:rsid w:val="00F94572"/>
    <w:rsid w:val="00F96167"/>
    <w:rsid w:val="00F96518"/>
    <w:rsid w:val="00FA07A2"/>
    <w:rsid w:val="00FA0B15"/>
    <w:rsid w:val="00FA7D8C"/>
    <w:rsid w:val="00FB098D"/>
    <w:rsid w:val="00FC332B"/>
    <w:rsid w:val="00FD6CB2"/>
    <w:rsid w:val="00FE37F0"/>
    <w:rsid w:val="00FF4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CB724-0059-477C-8F04-65045417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character" w:styleId="Accentuation">
    <w:name w:val="Emphasis"/>
    <w:basedOn w:val="Policepardfaut"/>
    <w:uiPriority w:val="20"/>
    <w:qFormat/>
    <w:rsid w:val="0022297A"/>
    <w:rPr>
      <w:rFonts w:ascii="Arial" w:hAnsi="Arial" w:cs="Arial"/>
      <w:b/>
      <w:iCs/>
      <w:sz w:val="28"/>
      <w:szCs w:val="28"/>
    </w:rPr>
  </w:style>
  <w:style w:type="paragraph" w:styleId="Textedebulles">
    <w:name w:val="Balloon Text"/>
    <w:basedOn w:val="Normal"/>
    <w:link w:val="TextedebullesCar"/>
    <w:uiPriority w:val="99"/>
    <w:semiHidden/>
    <w:unhideWhenUsed/>
    <w:rsid w:val="0091374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blind.org/sites/default/files/documents/ebu-focus-employment-inclusion_serbian_sr.docx" TargetMode="External"/><Relationship Id="rId13" Type="http://schemas.openxmlformats.org/officeDocument/2006/relationships/hyperlink" Target="mailto:ebu@euroblind.org" TargetMode="External"/><Relationship Id="rId3" Type="http://schemas.openxmlformats.org/officeDocument/2006/relationships/settings" Target="settings.xml"/><Relationship Id="rId7" Type="http://schemas.openxmlformats.org/officeDocument/2006/relationships/hyperlink" Target="https://www.euroblind.org/sites/default/files/documents/ebu-focus-employment-inclusion_polish_pl.docx" TargetMode="External"/><Relationship Id="rId12" Type="http://schemas.openxmlformats.org/officeDocument/2006/relationships/hyperlink" Target="https://www.w3.org/Translations/WCAG20-fr/WCAG20-fr-200906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uroblind.org/sites/default/files/the_research_on_the_employment_of_visually_impaired_persons_in_the_republic_of_serbia.docx" TargetMode="External"/><Relationship Id="rId5" Type="http://schemas.openxmlformats.org/officeDocument/2006/relationships/hyperlink" Target="http://www.euroblind.org" TargetMode="External"/><Relationship Id="rId15" Type="http://schemas.openxmlformats.org/officeDocument/2006/relationships/fontTable" Target="fontTable.xml"/><Relationship Id="rId10" Type="http://schemas.openxmlformats.org/officeDocument/2006/relationships/hyperlink" Target="https://www.euroblind.org/sites/default/files/documents/declaration_belgrade.docx" TargetMode="External"/><Relationship Id="rId4" Type="http://schemas.openxmlformats.org/officeDocument/2006/relationships/webSettings" Target="webSettings.xml"/><Relationship Id="rId9" Type="http://schemas.openxmlformats.org/officeDocument/2006/relationships/hyperlink" Target="https://www.euroblind.org/sites/default/files/documents/ebu-focus-employment-inclusion_turkish_tr.docx" TargetMode="External"/><Relationship Id="rId14"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3365</Words>
  <Characters>18510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Gary MAY</cp:lastModifiedBy>
  <cp:revision>57</cp:revision>
  <dcterms:created xsi:type="dcterms:W3CDTF">2021-12-29T19:22:00Z</dcterms:created>
  <dcterms:modified xsi:type="dcterms:W3CDTF">2022-01-03T08:07:00Z</dcterms:modified>
</cp:coreProperties>
</file>